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457" w:rsidRDefault="001B775D">
      <w:pPr>
        <w:rPr>
          <w:b/>
        </w:rPr>
      </w:pPr>
      <w:r>
        <w:rPr>
          <w:b/>
        </w:rPr>
        <w:t>Worksheet 7</w:t>
      </w:r>
    </w:p>
    <w:p w:rsidR="00B82457" w:rsidRDefault="001B775D">
      <w:pPr>
        <w:rPr>
          <w:b/>
        </w:rPr>
      </w:pPr>
      <w:r>
        <w:rPr>
          <w:b/>
        </w:rPr>
        <w:t xml:space="preserve">IoT Governance </w:t>
      </w:r>
    </w:p>
    <w:p w:rsidR="00B82457" w:rsidRDefault="001B775D">
      <w:pPr>
        <w:rPr>
          <w:b/>
        </w:rPr>
      </w:pPr>
      <w:r>
        <w:rPr>
          <w:b/>
        </w:rPr>
        <w:t>CPSC 3555 - Spring 2018</w:t>
      </w:r>
    </w:p>
    <w:p w:rsidR="00B82457" w:rsidRDefault="00B82457"/>
    <w:p w:rsidR="00B82457" w:rsidRDefault="001B775D">
      <w:r>
        <w:t>Section 1: Read Chapter 12,</w:t>
      </w:r>
      <w:r>
        <w:rPr>
          <w:i/>
        </w:rPr>
        <w:t xml:space="preserve"> Governing Internet of Things: Issues, Approaches, and new Paradigms, </w:t>
      </w:r>
      <w:r>
        <w:t>from the textbook</w:t>
      </w:r>
      <w:r>
        <w:rPr>
          <w:i/>
        </w:rPr>
        <w:t xml:space="preserve"> </w:t>
      </w:r>
      <w:r>
        <w:t xml:space="preserve">and answer the following questions. </w:t>
      </w:r>
    </w:p>
    <w:p w:rsidR="00B82457" w:rsidRDefault="00B82457"/>
    <w:p w:rsidR="00AE2F64" w:rsidRDefault="001B775D" w:rsidP="00AE2F64">
      <w:pPr>
        <w:numPr>
          <w:ilvl w:val="0"/>
          <w:numId w:val="1"/>
        </w:numPr>
        <w:contextualSpacing/>
      </w:pPr>
      <w:r>
        <w:t xml:space="preserve">What are the principles of good governance? </w:t>
      </w:r>
    </w:p>
    <w:p w:rsidR="00AE2F64" w:rsidRPr="00AE2F64" w:rsidRDefault="00AE2F64" w:rsidP="00AE2F64">
      <w:pPr>
        <w:numPr>
          <w:ilvl w:val="1"/>
          <w:numId w:val="1"/>
        </w:numPr>
        <w:contextualSpacing/>
      </w:pPr>
      <w:r>
        <w:rPr>
          <w:color w:val="FF0000"/>
        </w:rPr>
        <w:t>Broader participation: The governing entity should facilitate everyone in the community to contribute to the governing process without bias. The members of community could create intermediate entities to represent them in the governing process and should have the freedom to associate and speech.</w:t>
      </w:r>
    </w:p>
    <w:p w:rsidR="00AE2F64" w:rsidRDefault="00AE2F64" w:rsidP="00AE2F64">
      <w:pPr>
        <w:numPr>
          <w:ilvl w:val="1"/>
          <w:numId w:val="1"/>
        </w:numPr>
        <w:contextualSpacing/>
        <w:rPr>
          <w:color w:val="FF0000"/>
        </w:rPr>
      </w:pPr>
      <w:r w:rsidRPr="00AE2F64">
        <w:rPr>
          <w:color w:val="FF0000"/>
        </w:rPr>
        <w:t>Strategic vision: The governing process must take the long-term well being of the community while accommodating the short-term needs.</w:t>
      </w:r>
    </w:p>
    <w:p w:rsidR="00AE2F64" w:rsidRDefault="00AE2F64" w:rsidP="00AE2F64">
      <w:pPr>
        <w:numPr>
          <w:ilvl w:val="1"/>
          <w:numId w:val="1"/>
        </w:numPr>
        <w:contextualSpacing/>
        <w:rPr>
          <w:color w:val="FF0000"/>
        </w:rPr>
      </w:pPr>
      <w:r>
        <w:rPr>
          <w:color w:val="FF0000"/>
        </w:rPr>
        <w:t>Effectiveness and efficiency: the governing entity should be able to reach timely decisions while consuming minimal amount of resources.</w:t>
      </w:r>
    </w:p>
    <w:p w:rsidR="00AE2F64" w:rsidRDefault="00AE2F64" w:rsidP="00AE2F64">
      <w:pPr>
        <w:numPr>
          <w:ilvl w:val="1"/>
          <w:numId w:val="1"/>
        </w:numPr>
        <w:contextualSpacing/>
        <w:rPr>
          <w:color w:val="FF0000"/>
        </w:rPr>
      </w:pPr>
      <w:r>
        <w:rPr>
          <w:color w:val="FF0000"/>
        </w:rPr>
        <w:t xml:space="preserve">Transparency and accountability: Free flow of information is necessary for good governance. The community members should be able to rationalize the decisions arrived by the governing entity using the information that led to such decisions. Another related principle of good governance is accountability. The community should be able to hold the governing entity responsible for the decisions they make. </w:t>
      </w:r>
    </w:p>
    <w:p w:rsidR="0089419D" w:rsidRDefault="0089419D" w:rsidP="0089419D">
      <w:pPr>
        <w:numPr>
          <w:ilvl w:val="1"/>
          <w:numId w:val="1"/>
        </w:numPr>
        <w:pBdr>
          <w:top w:val="none" w:sz="0" w:space="0" w:color="auto"/>
          <w:left w:val="none" w:sz="0" w:space="0" w:color="auto"/>
          <w:bottom w:val="none" w:sz="0" w:space="0" w:color="auto"/>
          <w:right w:val="none" w:sz="0" w:space="0" w:color="auto"/>
          <w:between w:val="none" w:sz="0" w:space="0" w:color="auto"/>
        </w:pBdr>
        <w:rPr>
          <w:color w:val="FF0000"/>
        </w:rPr>
      </w:pPr>
      <w:r>
        <w:rPr>
          <w:color w:val="FF0000"/>
        </w:rPr>
        <w:t xml:space="preserve">Equity and rule of law: The governing entity should act without bias in their decision making. It should also take into consideration the laws of the land and long-term traditions of the community. </w:t>
      </w:r>
    </w:p>
    <w:p w:rsidR="0089419D" w:rsidRPr="00AE2F64" w:rsidRDefault="0089419D" w:rsidP="0089419D">
      <w:pPr>
        <w:ind w:left="1440"/>
        <w:contextualSpacing/>
        <w:rPr>
          <w:color w:val="FF0000"/>
        </w:rPr>
      </w:pPr>
    </w:p>
    <w:p w:rsidR="00B82457" w:rsidRDefault="001B775D" w:rsidP="00AE2F64">
      <w:pPr>
        <w:numPr>
          <w:ilvl w:val="0"/>
          <w:numId w:val="2"/>
        </w:numPr>
        <w:contextualSpacing/>
      </w:pPr>
      <w:r>
        <w:t>What are the six areas of Internet governance?</w:t>
      </w:r>
    </w:p>
    <w:p w:rsidR="00AE2F64" w:rsidRPr="00AE2F64" w:rsidRDefault="00AE2F64" w:rsidP="00AE2F64">
      <w:pPr>
        <w:pStyle w:val="ListParagraph"/>
        <w:numPr>
          <w:ilvl w:val="0"/>
          <w:numId w:val="4"/>
        </w:numPr>
      </w:pPr>
      <w:r>
        <w:rPr>
          <w:color w:val="FF0000"/>
        </w:rPr>
        <w:t>Control of critical Internet resources</w:t>
      </w:r>
    </w:p>
    <w:p w:rsidR="00AE2F64" w:rsidRPr="00AE2F64" w:rsidRDefault="00AE2F64" w:rsidP="00AE2F64">
      <w:pPr>
        <w:pStyle w:val="ListParagraph"/>
        <w:numPr>
          <w:ilvl w:val="0"/>
          <w:numId w:val="4"/>
        </w:numPr>
      </w:pPr>
      <w:r>
        <w:rPr>
          <w:color w:val="FF0000"/>
        </w:rPr>
        <w:t>Setting internet standards</w:t>
      </w:r>
    </w:p>
    <w:p w:rsidR="00AE2F64" w:rsidRPr="00AE2F64" w:rsidRDefault="00AE2F64" w:rsidP="00AE2F64">
      <w:pPr>
        <w:pStyle w:val="ListParagraph"/>
        <w:numPr>
          <w:ilvl w:val="0"/>
          <w:numId w:val="4"/>
        </w:numPr>
      </w:pPr>
      <w:r>
        <w:rPr>
          <w:color w:val="FF0000"/>
        </w:rPr>
        <w:t>Access and interconnection coordination</w:t>
      </w:r>
    </w:p>
    <w:p w:rsidR="00AE2F64" w:rsidRPr="00AE2F64" w:rsidRDefault="00AE2F64" w:rsidP="00AE2F64">
      <w:pPr>
        <w:pStyle w:val="ListParagraph"/>
        <w:numPr>
          <w:ilvl w:val="0"/>
          <w:numId w:val="4"/>
        </w:numPr>
      </w:pPr>
      <w:r>
        <w:rPr>
          <w:color w:val="FF0000"/>
        </w:rPr>
        <w:t>Cybersecurity governance</w:t>
      </w:r>
    </w:p>
    <w:p w:rsidR="00AE2F64" w:rsidRPr="00AE2F64" w:rsidRDefault="00AE2F64" w:rsidP="00AE2F64">
      <w:pPr>
        <w:pStyle w:val="ListParagraph"/>
        <w:numPr>
          <w:ilvl w:val="0"/>
          <w:numId w:val="4"/>
        </w:numPr>
      </w:pPr>
      <w:r>
        <w:rPr>
          <w:color w:val="FF0000"/>
        </w:rPr>
        <w:t>Information intermediation</w:t>
      </w:r>
    </w:p>
    <w:p w:rsidR="00AE2F64" w:rsidRDefault="00AE2F64" w:rsidP="00AE2F64">
      <w:pPr>
        <w:pStyle w:val="ListParagraph"/>
        <w:numPr>
          <w:ilvl w:val="0"/>
          <w:numId w:val="4"/>
        </w:numPr>
      </w:pPr>
      <w:r>
        <w:rPr>
          <w:color w:val="FF0000"/>
        </w:rPr>
        <w:t>Architecture-based intellectual property right enforcement</w:t>
      </w:r>
    </w:p>
    <w:p w:rsidR="00B82457" w:rsidRDefault="001B775D" w:rsidP="00AE2F64">
      <w:pPr>
        <w:numPr>
          <w:ilvl w:val="0"/>
          <w:numId w:val="2"/>
        </w:numPr>
        <w:contextualSpacing/>
      </w:pPr>
      <w:r>
        <w:t>What is network neutrality?</w:t>
      </w:r>
    </w:p>
    <w:p w:rsidR="00AE2F64" w:rsidRPr="0001153E" w:rsidRDefault="0001153E" w:rsidP="00AE2F64">
      <w:pPr>
        <w:ind w:left="720"/>
        <w:contextualSpacing/>
        <w:rPr>
          <w:color w:val="FF0000"/>
        </w:rPr>
      </w:pPr>
      <w:r>
        <w:rPr>
          <w:color w:val="FF0000"/>
        </w:rPr>
        <w:t xml:space="preserve">One </w:t>
      </w:r>
      <w:r w:rsidR="0089419D">
        <w:rPr>
          <w:color w:val="FF0000"/>
        </w:rPr>
        <w:t>of</w:t>
      </w:r>
      <w:r>
        <w:rPr>
          <w:color w:val="FF0000"/>
        </w:rPr>
        <w:t xml:space="preserve"> the most controversial aspects of interconnection governance, it is centered around the debate whether network operators are entitled to give some content service providers preferential treatment over others for a fee. </w:t>
      </w:r>
    </w:p>
    <w:p w:rsidR="00B82457" w:rsidRDefault="001B775D" w:rsidP="00AE2F64">
      <w:pPr>
        <w:numPr>
          <w:ilvl w:val="0"/>
          <w:numId w:val="2"/>
        </w:numPr>
        <w:contextualSpacing/>
      </w:pPr>
      <w:r>
        <w:t>How are governance and management connected?</w:t>
      </w:r>
    </w:p>
    <w:p w:rsidR="00EC3FE4" w:rsidRDefault="0089419D" w:rsidP="0089419D">
      <w:pPr>
        <w:ind w:left="720"/>
        <w:contextualSpacing/>
        <w:rPr>
          <w:color w:val="FF0000"/>
        </w:rPr>
      </w:pPr>
      <w:r w:rsidRPr="0089419D">
        <w:rPr>
          <w:color w:val="FF0000"/>
        </w:rPr>
        <w:t>The management</w:t>
      </w:r>
      <w:r w:rsidRPr="0089419D">
        <w:rPr>
          <w:color w:val="FF0000"/>
        </w:rPr>
        <w:t xml:space="preserve"> </w:t>
      </w:r>
      <w:r w:rsidRPr="0089419D">
        <w:rPr>
          <w:color w:val="FF0000"/>
        </w:rPr>
        <w:t>team is responsible for efficiently implementing the policies and goals of the enterprise and may not</w:t>
      </w:r>
      <w:r w:rsidRPr="0089419D">
        <w:rPr>
          <w:color w:val="FF0000"/>
        </w:rPr>
        <w:t xml:space="preserve"> </w:t>
      </w:r>
      <w:r w:rsidRPr="0089419D">
        <w:rPr>
          <w:color w:val="FF0000"/>
        </w:rPr>
        <w:t>be accountable for the whole community. Further, the governing entity is responsible for strategic</w:t>
      </w:r>
      <w:r w:rsidRPr="0089419D">
        <w:rPr>
          <w:color w:val="FF0000"/>
        </w:rPr>
        <w:t xml:space="preserve"> </w:t>
      </w:r>
      <w:r w:rsidRPr="0089419D">
        <w:rPr>
          <w:color w:val="FF0000"/>
        </w:rPr>
        <w:t>decision making and the outcome of this could create policies and rules that could guide the management</w:t>
      </w:r>
      <w:r w:rsidRPr="0089419D">
        <w:rPr>
          <w:color w:val="FF0000"/>
        </w:rPr>
        <w:t xml:space="preserve"> </w:t>
      </w:r>
      <w:r w:rsidRPr="0089419D">
        <w:rPr>
          <w:color w:val="FF0000"/>
        </w:rPr>
        <w:t>team.</w:t>
      </w:r>
    </w:p>
    <w:p w:rsidR="0089419D" w:rsidRDefault="0089419D" w:rsidP="0089419D">
      <w:pPr>
        <w:ind w:left="720"/>
        <w:contextualSpacing/>
        <w:rPr>
          <w:color w:val="FF0000"/>
        </w:rPr>
      </w:pPr>
    </w:p>
    <w:p w:rsidR="0089419D" w:rsidRPr="0089419D" w:rsidRDefault="0089419D" w:rsidP="0089419D">
      <w:pPr>
        <w:ind w:left="720"/>
        <w:contextualSpacing/>
        <w:rPr>
          <w:color w:val="FF0000"/>
        </w:rPr>
      </w:pPr>
      <w:bookmarkStart w:id="0" w:name="_GoBack"/>
      <w:bookmarkEnd w:id="0"/>
    </w:p>
    <w:p w:rsidR="00EC3FE4" w:rsidRDefault="001B775D" w:rsidP="00EC3FE4">
      <w:pPr>
        <w:numPr>
          <w:ilvl w:val="0"/>
          <w:numId w:val="2"/>
        </w:numPr>
        <w:contextualSpacing/>
      </w:pPr>
      <w:r>
        <w:lastRenderedPageBreak/>
        <w:t xml:space="preserve">What principles must IoT governance adhere to </w:t>
      </w:r>
      <w:r w:rsidR="00EC3FE4">
        <w:t>r</w:t>
      </w:r>
      <w:r>
        <w:t>ealize fair governance?</w:t>
      </w:r>
    </w:p>
    <w:p w:rsidR="00EC3FE4" w:rsidRDefault="00EC3FE4" w:rsidP="00EC3FE4">
      <w:pPr>
        <w:pStyle w:val="ListParagraph"/>
      </w:pPr>
    </w:p>
    <w:p w:rsidR="00EC3FE4" w:rsidRPr="00EC3FE4" w:rsidRDefault="00EC3FE4" w:rsidP="00EC3FE4">
      <w:pPr>
        <w:pStyle w:val="ListParagraph"/>
        <w:numPr>
          <w:ilvl w:val="0"/>
          <w:numId w:val="5"/>
        </w:numPr>
      </w:pPr>
      <w:r>
        <w:rPr>
          <w:color w:val="FF0000"/>
        </w:rPr>
        <w:t xml:space="preserve">Identifying the right set of stakeholders to participate in a </w:t>
      </w:r>
      <w:proofErr w:type="gramStart"/>
      <w:r>
        <w:rPr>
          <w:color w:val="FF0000"/>
        </w:rPr>
        <w:t>particular decision-making</w:t>
      </w:r>
      <w:proofErr w:type="gramEnd"/>
      <w:r>
        <w:rPr>
          <w:color w:val="FF0000"/>
        </w:rPr>
        <w:t xml:space="preserve"> process</w:t>
      </w:r>
    </w:p>
    <w:p w:rsidR="00EC3FE4" w:rsidRPr="00EC3FE4" w:rsidRDefault="00EC3FE4" w:rsidP="00EC3FE4">
      <w:pPr>
        <w:pStyle w:val="ListParagraph"/>
        <w:numPr>
          <w:ilvl w:val="0"/>
          <w:numId w:val="5"/>
        </w:numPr>
      </w:pPr>
      <w:r>
        <w:rPr>
          <w:color w:val="FF0000"/>
        </w:rPr>
        <w:t xml:space="preserve">The mechanisms for selecting participants for the </w:t>
      </w:r>
      <w:proofErr w:type="gramStart"/>
      <w:r>
        <w:rPr>
          <w:color w:val="FF0000"/>
        </w:rPr>
        <w:t>different groups</w:t>
      </w:r>
      <w:proofErr w:type="gramEnd"/>
    </w:p>
    <w:p w:rsidR="00EC3FE4" w:rsidRPr="00EC3FE4" w:rsidRDefault="00EC3FE4" w:rsidP="00EC3FE4">
      <w:pPr>
        <w:pStyle w:val="ListParagraph"/>
        <w:numPr>
          <w:ilvl w:val="0"/>
          <w:numId w:val="5"/>
        </w:numPr>
      </w:pPr>
      <w:r>
        <w:rPr>
          <w:color w:val="FF0000"/>
        </w:rPr>
        <w:t>Inclusion of crowdsourcing in the MSM dialog</w:t>
      </w:r>
    </w:p>
    <w:p w:rsidR="00EC3FE4" w:rsidRPr="001B775D" w:rsidRDefault="00EC3FE4" w:rsidP="00EC3FE4">
      <w:pPr>
        <w:pStyle w:val="ListParagraph"/>
        <w:numPr>
          <w:ilvl w:val="0"/>
          <w:numId w:val="5"/>
        </w:numPr>
        <w:rPr>
          <w:color w:val="FF0000"/>
        </w:rPr>
      </w:pPr>
      <w:r>
        <w:rPr>
          <w:color w:val="FF0000"/>
        </w:rPr>
        <w:t>Technologies for the presentative to stay connected to their constituencies</w:t>
      </w:r>
    </w:p>
    <w:p w:rsidR="00EC3FE4" w:rsidRPr="001B775D" w:rsidRDefault="00EC3FE4" w:rsidP="00EC3FE4">
      <w:pPr>
        <w:pStyle w:val="ListParagraph"/>
        <w:numPr>
          <w:ilvl w:val="0"/>
          <w:numId w:val="5"/>
        </w:numPr>
        <w:rPr>
          <w:color w:val="FF0000"/>
        </w:rPr>
      </w:pPr>
      <w:r w:rsidRPr="001B775D">
        <w:rPr>
          <w:color w:val="FF0000"/>
        </w:rPr>
        <w:t>Technology support for achieving and accelerating consensus in MSM bodies</w:t>
      </w:r>
    </w:p>
    <w:p w:rsidR="00EC3FE4" w:rsidRPr="001B775D" w:rsidRDefault="001B775D" w:rsidP="00EC3FE4">
      <w:pPr>
        <w:pStyle w:val="ListParagraph"/>
        <w:numPr>
          <w:ilvl w:val="0"/>
          <w:numId w:val="5"/>
        </w:numPr>
        <w:rPr>
          <w:color w:val="FF0000"/>
        </w:rPr>
      </w:pPr>
      <w:r w:rsidRPr="001B775D">
        <w:rPr>
          <w:color w:val="FF0000"/>
        </w:rPr>
        <w:t>Theoretical models for consensus and development in MSM bodies</w:t>
      </w:r>
    </w:p>
    <w:p w:rsidR="00B82457" w:rsidRDefault="00B82457"/>
    <w:sectPr w:rsidR="00B8245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4FB5"/>
    <w:multiLevelType w:val="hybridMultilevel"/>
    <w:tmpl w:val="54606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2A3D1C"/>
    <w:multiLevelType w:val="hybridMultilevel"/>
    <w:tmpl w:val="2D045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672C7D"/>
    <w:multiLevelType w:val="multilevel"/>
    <w:tmpl w:val="CA0A6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BB4DB7"/>
    <w:multiLevelType w:val="multilevel"/>
    <w:tmpl w:val="CA0A6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952983"/>
    <w:multiLevelType w:val="hybridMultilevel"/>
    <w:tmpl w:val="6C0A18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82457"/>
    <w:rsid w:val="0001153E"/>
    <w:rsid w:val="001B775D"/>
    <w:rsid w:val="00757955"/>
    <w:rsid w:val="0089419D"/>
    <w:rsid w:val="00AE2F64"/>
    <w:rsid w:val="00B82457"/>
    <w:rsid w:val="00EC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45B6"/>
  <w15:docId w15:val="{7E1AF54A-1D20-4B56-AD0A-92056AC0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E2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85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Vallejo</cp:lastModifiedBy>
  <cp:revision>5</cp:revision>
  <dcterms:created xsi:type="dcterms:W3CDTF">2018-01-11T21:21:00Z</dcterms:created>
  <dcterms:modified xsi:type="dcterms:W3CDTF">2018-01-12T14:51:00Z</dcterms:modified>
</cp:coreProperties>
</file>