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МИНИСТЕРСТВО ОБРАЗОВАНИЯ И МОЛОДЕЖНОЙ ПОЛИТИКИ</w:t>
        <w:br/>
        <w:t xml:space="preserve">СВЕРДЛОВСКОЙ ОБЛАСТИ</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ГОСУДАРСТВЕННОЕ АВТОНОМНОЕ ПРОФЕССИОНАЛЬНОЕ ОБРАЗОВАТЕЛЬНОЕ УЧРЕЖДЕНИЕ СВЕРДЛОВСКОЙ ОБЛАСТИ</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КАМЕНСК-УРАЛЬСКИЙ ПОЛИТЕХНИЧЕСКИЙ КОЛЛЕДЖ</w:t>
      </w:r>
      <w:r>
        <w:rPr>
          <w:rFonts w:ascii="Times New Roman" w:hAnsi="Times New Roman" w:cs="Times New Roman" w:eastAsia="Times New Roman"/>
          <w:color w:val="000000"/>
          <w:spacing w:val="0"/>
          <w:position w:val="0"/>
          <w:sz w:val="28"/>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ГАПОУ СО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КУПК</w:t>
      </w:r>
      <w:r>
        <w:rPr>
          <w:rFonts w:ascii="Times New Roman" w:hAnsi="Times New Roman" w:cs="Times New Roman" w:eastAsia="Times New Roman"/>
          <w:color w:val="000000"/>
          <w:spacing w:val="0"/>
          <w:position w:val="0"/>
          <w:sz w:val="28"/>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5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Специальность 09.02.07</w:t>
      </w:r>
    </w:p>
    <w:p>
      <w:pPr>
        <w:spacing w:before="0" w:after="0" w:line="276"/>
        <w:ind w:right="0" w:left="5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Информационные системы и программирование</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6"/>
          <w:shd w:fill="auto" w:val="clear"/>
        </w:rPr>
        <w:t xml:space="preserve">РАЗРАБОТКА САЙТА ДЛЯ ДЕТСКОГО ОЗДОРОВИТЕЛЬНОГО ЛАГЕРЯ АО </w:t>
      </w:r>
      <w:r>
        <w:rPr>
          <w:rFonts w:ascii="Times New Roman" w:hAnsi="Times New Roman" w:cs="Times New Roman" w:eastAsia="Times New Roman"/>
          <w:color w:val="auto"/>
          <w:spacing w:val="0"/>
          <w:position w:val="0"/>
          <w:sz w:val="36"/>
          <w:shd w:fill="auto" w:val="clear"/>
        </w:rPr>
        <w:t xml:space="preserve">«</w:t>
      </w:r>
      <w:r>
        <w:rPr>
          <w:rFonts w:ascii="Times New Roman" w:hAnsi="Times New Roman" w:cs="Times New Roman" w:eastAsia="Times New Roman"/>
          <w:color w:val="auto"/>
          <w:spacing w:val="0"/>
          <w:position w:val="0"/>
          <w:sz w:val="36"/>
          <w:shd w:fill="auto" w:val="clear"/>
        </w:rPr>
        <w:t xml:space="preserve">ЧЭМК</w:t>
      </w:r>
      <w:r>
        <w:rPr>
          <w:rFonts w:ascii="Times New Roman" w:hAnsi="Times New Roman" w:cs="Times New Roman" w:eastAsia="Times New Roman"/>
          <w:color w:val="auto"/>
          <w:spacing w:val="0"/>
          <w:position w:val="0"/>
          <w:sz w:val="36"/>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36"/>
          <w:shd w:fill="auto" w:val="clear"/>
        </w:rPr>
        <w:t xml:space="preserve">Пояснительная записка</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36"/>
          <w:shd w:fill="auto" w:val="clear"/>
        </w:rPr>
        <w:t xml:space="preserve">ДП.09.02.07.01.401.275.25.ПЗ</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36"/>
          <w:shd w:fill="auto" w:val="clear"/>
        </w:rPr>
        <w:t xml:space="preserve">Дипломный проект</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tbl>
      <w:tblPr/>
      <w:tblGrid>
        <w:gridCol w:w="4495"/>
        <w:gridCol w:w="4394"/>
      </w:tblGrid>
      <w:tr>
        <w:trPr>
          <w:trHeight w:val="2040" w:hRule="auto"/>
          <w:jc w:val="left"/>
        </w:trPr>
        <w:tc>
          <w:tcPr>
            <w:tcW w:w="4495"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Выполнил:</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студент</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___________ </w:t>
            </w:r>
            <w:r>
              <w:rPr>
                <w:rFonts w:ascii="Times New Roman" w:hAnsi="Times New Roman" w:cs="Times New Roman" w:eastAsia="Times New Roman"/>
                <w:color w:val="auto"/>
                <w:spacing w:val="0"/>
                <w:position w:val="0"/>
                <w:sz w:val="28"/>
                <w:shd w:fill="auto" w:val="clear"/>
              </w:rPr>
              <w:t xml:space="preserve">Боровинских П.А..</w:t>
            </w:r>
          </w:p>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___________</w:t>
            </w:r>
          </w:p>
        </w:tc>
        <w:tc>
          <w:tcPr>
            <w:tcW w:w="4394"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Руководитель проекта:</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_____________ </w:t>
            </w:r>
            <w:r>
              <w:rPr>
                <w:rFonts w:ascii="Times New Roman" w:hAnsi="Times New Roman" w:cs="Times New Roman" w:eastAsia="Times New Roman"/>
                <w:color w:val="000000"/>
                <w:spacing w:val="0"/>
                <w:position w:val="0"/>
                <w:sz w:val="28"/>
                <w:shd w:fill="auto" w:val="clear"/>
              </w:rPr>
              <w:t xml:space="preserve">Бодня Н.В..</w:t>
            </w:r>
          </w:p>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____________</w:t>
            </w:r>
          </w:p>
        </w:tc>
      </w:tr>
      <w:tr>
        <w:trPr>
          <w:trHeight w:val="1470" w:hRule="auto"/>
          <w:jc w:val="left"/>
        </w:trPr>
        <w:tc>
          <w:tcPr>
            <w:tcW w:w="4495"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Заведующий отделением</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___________ </w:t>
            </w:r>
            <w:r>
              <w:rPr>
                <w:rFonts w:ascii="Times New Roman" w:hAnsi="Times New Roman" w:cs="Times New Roman" w:eastAsia="Times New Roman"/>
                <w:color w:val="000000"/>
                <w:spacing w:val="0"/>
                <w:position w:val="0"/>
                <w:sz w:val="28"/>
                <w:shd w:fill="auto" w:val="clear"/>
              </w:rPr>
              <w:t xml:space="preserve">Ганжа И.Н.</w:t>
            </w:r>
          </w:p>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___________</w:t>
            </w:r>
          </w:p>
        </w:tc>
        <w:tc>
          <w:tcPr>
            <w:tcW w:w="4394"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Консультант по экономической части</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___________ </w:t>
            </w:r>
            <w:r>
              <w:rPr>
                <w:rFonts w:ascii="Times New Roman" w:hAnsi="Times New Roman" w:cs="Times New Roman" w:eastAsia="Times New Roman"/>
                <w:color w:val="000000"/>
                <w:spacing w:val="0"/>
                <w:position w:val="0"/>
                <w:sz w:val="28"/>
                <w:shd w:fill="auto" w:val="clear"/>
              </w:rPr>
              <w:t xml:space="preserve">Польщикова Л.А.</w:t>
            </w:r>
          </w:p>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___________ </w:t>
            </w:r>
          </w:p>
        </w:tc>
      </w:tr>
    </w:tbl>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76"/>
        <w:ind w:right="0" w:left="0" w:firstLine="0"/>
        <w:jc w:val="left"/>
        <w:rPr>
          <w:rFonts w:ascii="Times New Roman" w:hAnsi="Times New Roman" w:cs="Times New Roman" w:eastAsia="Times New Roman"/>
          <w:color w:val="auto"/>
          <w:spacing w:val="0"/>
          <w:position w:val="0"/>
          <w:sz w:val="22"/>
          <w:shd w:fill="auto" w:val="clear"/>
        </w:rPr>
      </w:pPr>
    </w:p>
    <w:p>
      <w:pPr>
        <w:tabs>
          <w:tab w:val="left" w:pos="1590" w:leader="none"/>
        </w:tabs>
        <w:spacing w:before="0" w:after="16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ВВЕДЕНИЕ</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 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Целью данного дипломного проекта является разработка и внедрение модуля онлайн-бронирования для детского оздоровительного лагеря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Для достижения поставленной цели необходимо решить следующие задачи:  </w:t>
      </w:r>
    </w:p>
    <w:p>
      <w:pPr>
        <w:numPr>
          <w:ilvl w:val="0"/>
          <w:numId w:val="18"/>
        </w:num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Провести анализ существующих решений для онлайн-бронирования в сфере детского отдыха и туризма.  </w:t>
      </w:r>
    </w:p>
    <w:p>
      <w:pPr>
        <w:numPr>
          <w:ilvl w:val="0"/>
          <w:numId w:val="18"/>
        </w:num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Определить функциональные требования к модулю, исходя из потребностей лагеря и его клиентов.  </w:t>
      </w:r>
    </w:p>
    <w:p>
      <w:pPr>
        <w:numPr>
          <w:ilvl w:val="0"/>
          <w:numId w:val="18"/>
        </w:num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Реализовать пользовательский интерфейс для удобного взаимодействия родителей с системой бронирования.  </w:t>
      </w:r>
    </w:p>
    <w:p>
      <w:pPr>
        <w:numPr>
          <w:ilvl w:val="0"/>
          <w:numId w:val="18"/>
        </w:num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Реализовать функциональную часть модуля.</w:t>
      </w:r>
    </w:p>
    <w:p>
      <w:pPr>
        <w:numPr>
          <w:ilvl w:val="0"/>
          <w:numId w:val="18"/>
        </w:num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Протестировать работоспособность модуля.  </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Практическая значимость проекта заключается в том, что внедрение модуля онлайн-бронирования позволит ДОЛ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оптимизировать работу с клиентами. Кроме того, система повысит конкурентоспособность лагеря за счет удобного и современного сервиса бронирования.  </w:t>
      </w:r>
    </w:p>
    <w:p>
      <w:pPr>
        <w:spacing w:before="0" w:after="0" w:line="276"/>
        <w:ind w:right="0" w:left="0" w:firstLine="851"/>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АНАЛИТИЧЕСКАЯ ЧАСТЬ</w:t>
      </w:r>
    </w:p>
    <w:p>
      <w:pPr>
        <w:keepNext w:val="true"/>
        <w:keepLines w:val="true"/>
        <w:numPr>
          <w:ilvl w:val="0"/>
          <w:numId w:val="21"/>
        </w:numPr>
        <w:spacing w:before="0" w:after="0" w:line="276"/>
        <w:ind w:right="0" w:left="1129" w:hanging="42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Описание предметной области</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Челябинский электрометаллургический комбинат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ЧЭМК)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pPr>
        <w:spacing w:before="100" w:after="0" w:line="276"/>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1.2 </w:t>
      </w:r>
      <w:r>
        <w:rPr>
          <w:rFonts w:ascii="Times New Roman" w:hAnsi="Times New Roman" w:cs="Times New Roman" w:eastAsia="Times New Roman"/>
          <w:color w:val="auto"/>
          <w:spacing w:val="0"/>
          <w:position w:val="0"/>
          <w:sz w:val="28"/>
          <w:u w:val="single"/>
          <w:shd w:fill="auto" w:val="clear"/>
        </w:rPr>
        <w:t xml:space="preserve">Описание организационной структуры предприятия</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Основные виды организационных структур:</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позволяет привлекать узких специалистов, повышая качество решений, но может приводить к дублированию полномочий и снижению координации между отделами.</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Дивизиональная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АО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Челябинский электрометаллургический комбинат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Организационная структура предприятия представлена в приложении Б.</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1.3 </w:t>
      </w:r>
      <w:r>
        <w:rPr>
          <w:rFonts w:ascii="Times New Roman" w:hAnsi="Times New Roman" w:cs="Times New Roman" w:eastAsia="Times New Roman"/>
          <w:color w:val="auto"/>
          <w:spacing w:val="0"/>
          <w:position w:val="0"/>
          <w:sz w:val="28"/>
          <w:u w:val="single"/>
          <w:shd w:fill="auto" w:val="clear"/>
        </w:rPr>
        <w:t xml:space="preserve">Описание объекта автоматизации</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Объект автоматизации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Акакуль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принадлежащий АО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ЧЭМК</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этапе оформления заказа от пользователя требуется заполнение обязательных данных. Это полные ФИО родителя(законного представителя ребенка) и ФИО ребенка. Дополнительно запрашивается контактный телефон, адрес электронной почты(email). Также предусмотрено поле для примечаний, где можно указать особые пожелания или важную информацию о ребенке.</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1.4 </w:t>
      </w:r>
      <w:r>
        <w:rPr>
          <w:rFonts w:ascii="Times New Roman" w:hAnsi="Times New Roman" w:cs="Times New Roman" w:eastAsia="Times New Roman"/>
          <w:color w:val="auto"/>
          <w:spacing w:val="0"/>
          <w:position w:val="0"/>
          <w:sz w:val="28"/>
          <w:u w:val="single"/>
          <w:shd w:fill="auto" w:val="clear"/>
        </w:rPr>
        <w:t xml:space="preserve">Построение модели </w:t>
      </w:r>
      <w:r>
        <w:rPr>
          <w:rFonts w:ascii="Times New Roman" w:hAnsi="Times New Roman" w:cs="Times New Roman" w:eastAsia="Times New Roman"/>
          <w:color w:val="auto"/>
          <w:spacing w:val="0"/>
          <w:position w:val="0"/>
          <w:sz w:val="28"/>
          <w:u w:val="single"/>
          <w:shd w:fill="auto" w:val="clear"/>
        </w:rPr>
        <w:t xml:space="preserve">«</w:t>
      </w:r>
      <w:r>
        <w:rPr>
          <w:rFonts w:ascii="Times New Roman" w:hAnsi="Times New Roman" w:cs="Times New Roman" w:eastAsia="Times New Roman"/>
          <w:color w:val="auto"/>
          <w:spacing w:val="0"/>
          <w:position w:val="0"/>
          <w:sz w:val="28"/>
          <w:u w:val="single"/>
          <w:shd w:fill="auto" w:val="clear"/>
        </w:rPr>
        <w:t xml:space="preserve">Как есть</w:t>
      </w:r>
      <w:r>
        <w:rPr>
          <w:rFonts w:ascii="Times New Roman" w:hAnsi="Times New Roman" w:cs="Times New Roman" w:eastAsia="Times New Roman"/>
          <w:color w:val="auto"/>
          <w:spacing w:val="0"/>
          <w:position w:val="0"/>
          <w:sz w:val="28"/>
          <w:u w:val="single"/>
          <w:shd w:fill="auto" w:val="clear"/>
        </w:rPr>
        <w:t xml:space="preserve">» </w:t>
      </w:r>
      <w:r>
        <w:rPr>
          <w:rFonts w:ascii="Times New Roman" w:hAnsi="Times New Roman" w:cs="Times New Roman" w:eastAsia="Times New Roman"/>
          <w:color w:val="auto"/>
          <w:spacing w:val="0"/>
          <w:position w:val="0"/>
          <w:sz w:val="28"/>
          <w:u w:val="single"/>
          <w:shd w:fill="auto" w:val="clear"/>
        </w:rPr>
        <w:t xml:space="preserve">для основного бизнес-процесса объекта автоматизации</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Бизнес-процесс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pPr>
        <w:spacing w:before="0" w:after="16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Ключевые характеристики бизнес-процесса:</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Целенаправленность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Повторяемость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процесс выполняется неоднократно по стандартному алгоритму, а не как разовая операция.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Структурированность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включает последовательность шагов, участников, используемые ресурсы и правила выполнения.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Измеримость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эффективность процесса можно оценить через показатели (время выполнения, стоимость, качество).</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Взаимосвязь с другими процессами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редко существует изолированно, обычно является частью более крупной бизнес-системы.</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анализа текущего состояния процесса продаж путёвок в детский оздоровительный лагерь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Акакуль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было выполнено бизнес-моделирование в методологии IDEF0. IDEF0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 Этот подход позволяет системно описать все этапы работы с клиентами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из-за 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визуализации бизнес-процесса использовалось специализированное программное обеспечение Microsoft Visio, которое предоставляет широкие возможности для создания детализированных диаграмм. Применение методологии IDEF0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изменения позволяют сделать процесс продажи путевок более </w:t>
      </w:r>
      <w:r>
        <w:object w:dxaOrig="8979" w:dyaOrig="6520">
          <v:rect xmlns:o="urn:schemas-microsoft-com:office:office" xmlns:v="urn:schemas-microsoft-com:vml" id="rectole0000000000" style="width:448.950000pt;height:32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8"/>
          <w:shd w:fill="auto" w:val="clear"/>
        </w:rPr>
        <w:t xml:space="preserve">клиентоориентированным и эффективным.</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 1. Модель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есть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процесса продажи путёвки в детский лагерь</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Входными данными в данной модели являются: данные пользователя(ФИО родителя(законного представителя), ФИО ребёнка, контактный телефон, email(электронная почта), данные банковской карты для оплаты путёвки).</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Основные механизмы: сотрудники и сайт.</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Компоненты управления: нормативные документы, правила лагеря и сроки оплаты.</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Выходные данные: путёвка в детский оздоровительный лагерь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Акакуль</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более глубокого изучения существующих процессов была построена диаграмма декомпозиции модели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есть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что даёт возможность разложить бизнес-процесс на составные элементы и проанализировать его на различных уровнях детализации.</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изображена на рисунке 2.</w:t>
      </w:r>
      <w:r>
        <w:object w:dxaOrig="8938" w:dyaOrig="6393">
          <v:rect xmlns:o="urn:schemas-microsoft-com:office:office" xmlns:v="urn:schemas-microsoft-com:vml" id="rectole0000000001" style="width:446.900000pt;height:31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Диаграмма декомпозиции модели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есть</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Входными данными в данной модели являются: данные пользователя(ФИО родителя(законного представителя), ФИО ребёнка, контактный телефон, email(электронная почта), данные банковской карты для оплаты путёвки).</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Основные механизмы: сотрудник и сайт.</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Компоненты управления: нормативные документы, правила лагеря и сроки оплаты.</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Выходные данные: путёвка в детский оздоровительный лагерь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Акакуль</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1.5 </w:t>
      </w:r>
      <w:r>
        <w:rPr>
          <w:rFonts w:ascii="Times New Roman" w:hAnsi="Times New Roman" w:cs="Times New Roman" w:eastAsia="Times New Roman"/>
          <w:color w:val="auto"/>
          <w:spacing w:val="0"/>
          <w:position w:val="0"/>
          <w:sz w:val="28"/>
          <w:u w:val="single"/>
          <w:shd w:fill="auto" w:val="clear"/>
        </w:rPr>
        <w:t xml:space="preserve">Постановка задачи</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 данном дипломном проекте поставлена задача разработать модуль онлайн-бронирования путевок для ДОЛ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на базе существующего сайта. </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Разработка модуля онлайн-бронирования путевок для ДОЛ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данного недостатка необходим: провести анализ существующих решений для онлайн-бронирования в сфере детского отдыха и туризма.  </w:t>
      </w:r>
    </w:p>
    <w:p>
      <w:pPr>
        <w:numPr>
          <w:ilvl w:val="0"/>
          <w:numId w:val="41"/>
        </w:numPr>
        <w:spacing w:before="10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Определить функциональные требования к плагину, исходя из потребностей лагеря и его клиентов.  </w:t>
      </w:r>
    </w:p>
    <w:p>
      <w:pPr>
        <w:numPr>
          <w:ilvl w:val="0"/>
          <w:numId w:val="41"/>
        </w:numPr>
        <w:spacing w:before="10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Построение структуры приложения.</w:t>
      </w:r>
    </w:p>
    <w:p>
      <w:pPr>
        <w:numPr>
          <w:ilvl w:val="0"/>
          <w:numId w:val="41"/>
        </w:numPr>
        <w:spacing w:before="10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Разработка ТЗ.</w:t>
      </w:r>
    </w:p>
    <w:p>
      <w:pPr>
        <w:numPr>
          <w:ilvl w:val="0"/>
          <w:numId w:val="41"/>
        </w:numPr>
        <w:spacing w:before="10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Реализовать пользовательский интерфейс для удобного взаимодействия родителей с системой бронирования.  </w:t>
      </w:r>
    </w:p>
    <w:p>
      <w:pPr>
        <w:numPr>
          <w:ilvl w:val="0"/>
          <w:numId w:val="41"/>
        </w:numPr>
        <w:spacing w:before="10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Реализовать функциональную часть плагина.</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Модуль для онлайн-бронирования путевок в детский лагерь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обладает рядом ключевых преимуществ, которые делают его удобным и эффективным инструментом для работы с клиентами.</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Для клиентов предусмотрен удобный процесс бронирования с валидацией данных: проверка ФИО (только кириллица), телефона (формат +7 (XXX) XXX XX XX), email, дата рождения. После заполнения формы клиент получает письмо с подтверждающей ссылкой, что повышает надежность бронирования и снижает количество ошибок.</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Автоматизированные уведомления по email информируют клиентов о подтверждении брони, необходимости оплаты (срок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72 </w:t>
      </w:r>
      <w:r>
        <w:rPr>
          <w:rFonts w:ascii="Times New Roman" w:hAnsi="Times New Roman" w:cs="Times New Roman" w:eastAsia="Times New Roman"/>
          <w:color w:val="000000"/>
          <w:spacing w:val="0"/>
          <w:position w:val="0"/>
          <w:sz w:val="28"/>
          <w:shd w:fill="auto" w:val="clear"/>
        </w:rPr>
        <w:t xml:space="preserve">часа) или отмене (если клиент не выполнил условия). Это сокращает ручную работу и улучшает коммуникацию.</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Для более эффективного анализа данных реализован экспорт бронирований в Excel с фильтрацией, а также инструмент для выполнения SQL-запросов для администраторов.</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Система автоматически отменяет неоплаченные брони через 72 часа и неподтвержденные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через 24 часа, освобождая места и возвращая товары на склад.</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Гибкость модуля позволяет адаптировать его не только для лагеря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Акакуль</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но и для других услуг с похожей логикой бронирования, что повышает его выгодность и практичность.</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Технологическая реализация будет основана на базе таких веб-технологий как: CMS WordPress, HTML, PHP, JS.</w:t>
      </w:r>
    </w:p>
    <w:p>
      <w:pPr>
        <w:spacing w:before="0" w:after="160" w:line="276"/>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60" w:line="276"/>
        <w:ind w:right="0" w:left="0" w:firstLine="0"/>
        <w:jc w:val="left"/>
        <w:rPr>
          <w:rFonts w:ascii="Calibri" w:hAnsi="Calibri" w:cs="Calibri" w:eastAsia="Calibri"/>
          <w:color w:val="000000"/>
          <w:spacing w:val="0"/>
          <w:position w:val="0"/>
          <w:sz w:val="28"/>
          <w:shd w:fill="auto" w:val="clear"/>
        </w:rPr>
      </w:pPr>
    </w:p>
    <w:p>
      <w:pPr>
        <w:keepNext w:val="true"/>
        <w:keepLines w:val="true"/>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ПРОЕКТНАЯ ЧАСТЬ</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2.1 </w:t>
      </w:r>
      <w:r>
        <w:rPr>
          <w:rFonts w:ascii="Times New Roman" w:hAnsi="Times New Roman" w:cs="Times New Roman" w:eastAsia="Times New Roman"/>
          <w:color w:val="auto"/>
          <w:spacing w:val="0"/>
          <w:position w:val="0"/>
          <w:sz w:val="28"/>
          <w:u w:val="single"/>
          <w:shd w:fill="auto" w:val="clear"/>
        </w:rPr>
        <w:t xml:space="preserve">Построение модели </w:t>
      </w:r>
      <w:r>
        <w:rPr>
          <w:rFonts w:ascii="Times New Roman" w:hAnsi="Times New Roman" w:cs="Times New Roman" w:eastAsia="Times New Roman"/>
          <w:color w:val="auto"/>
          <w:spacing w:val="0"/>
          <w:position w:val="0"/>
          <w:sz w:val="28"/>
          <w:u w:val="single"/>
          <w:shd w:fill="auto" w:val="clear"/>
        </w:rPr>
        <w:t xml:space="preserve">«</w:t>
      </w:r>
      <w:r>
        <w:rPr>
          <w:rFonts w:ascii="Times New Roman" w:hAnsi="Times New Roman" w:cs="Times New Roman" w:eastAsia="Times New Roman"/>
          <w:color w:val="auto"/>
          <w:spacing w:val="0"/>
          <w:position w:val="0"/>
          <w:sz w:val="28"/>
          <w:u w:val="single"/>
          <w:shd w:fill="auto" w:val="clear"/>
        </w:rPr>
        <w:t xml:space="preserve">Как будет</w:t>
      </w:r>
      <w:r>
        <w:rPr>
          <w:rFonts w:ascii="Times New Roman" w:hAnsi="Times New Roman" w:cs="Times New Roman" w:eastAsia="Times New Roman"/>
          <w:color w:val="auto"/>
          <w:spacing w:val="0"/>
          <w:position w:val="0"/>
          <w:sz w:val="28"/>
          <w:u w:val="single"/>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модели TO-BE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будет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Построение модели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будет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осуществляется на основе анализа текущей ситуации (модели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есть) и учитывает рекомендации по автоматизации, стандартизации и улучшению качества работы. Диаграмма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будет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новой версии бизнес-процесса был добавлен модуль для онлайн-бронирования, связанный с главным бизнес-процессом, таким как - оплата путёвки.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Новая диаграмма выступает в качестве диаграммы декомпозиции. Диаграмма декомпозиции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 Подробнее ознакомиться и увидеть основные компоненты можно на рисунке 3.  </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object w:dxaOrig="8979" w:dyaOrig="6462">
          <v:rect xmlns:o="urn:schemas-microsoft-com:office:office" xmlns:v="urn:schemas-microsoft-com:vml" id="rectole0000000002" style="width:448.950000pt;height:32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 3- Диаграмма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Как будет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процесса продажи путёвки в детский лагерь.</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Входными данными являются: данные пользователя( ФИО родителя или законного представителя, ФИО ребёнка, дата рождения, телефон, email).</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Выходные данные: путевка в ДОЛ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Акакуль</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Компоненты управления: нормативные документы, правила лагеря, сроки оплаты.</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Механизмы: модуль онлайн-бронирования и сотрудник.</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2.2 </w:t>
      </w:r>
      <w:r>
        <w:rPr>
          <w:rFonts w:ascii="Times New Roman" w:hAnsi="Times New Roman" w:cs="Times New Roman" w:eastAsia="Times New Roman"/>
          <w:color w:val="auto"/>
          <w:spacing w:val="0"/>
          <w:position w:val="0"/>
          <w:sz w:val="28"/>
          <w:u w:val="single"/>
          <w:shd w:fill="auto" w:val="clear"/>
        </w:rPr>
        <w:t xml:space="preserve">Обоснование технологических решений</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Разработка модуля онлайн-бронирования для АО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ЧЭМК</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WordPress и WooCommerce.</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WordPress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свободно распространяемая </w:t>
      </w:r>
      <w:hyperlink xmlns:r="http://schemas.openxmlformats.org/officeDocument/2006/relationships" r:id="docRId6">
        <w:r>
          <w:rPr>
            <w:rFonts w:ascii="Times New Roman" w:hAnsi="Times New Roman" w:cs="Times New Roman" w:eastAsia="Times New Roman"/>
            <w:color w:val="000000"/>
            <w:spacing w:val="0"/>
            <w:position w:val="0"/>
            <w:sz w:val="28"/>
            <w:u w:val="single"/>
            <w:shd w:fill="auto" w:val="clear"/>
          </w:rPr>
          <w:t xml:space="preserve">система управления</w:t>
        </w:r>
        <w:r>
          <w:rPr>
            <w:rFonts w:ascii="Times New Roman" w:hAnsi="Times New Roman" w:cs="Times New Roman" w:eastAsia="Times New Roman"/>
            <w:color w:val="0000FF"/>
            <w:spacing w:val="0"/>
            <w:position w:val="0"/>
            <w:sz w:val="28"/>
            <w:u w:val="single"/>
            <w:shd w:fill="auto" w:val="clear"/>
          </w:rPr>
          <w:t xml:space="preserve"> HYPERLINK "https://ru.wikipedia.org/wiki/%D0%A1%D0%B8%D1%81%D1%82%D0%B5%D0%BC%D0%B0_%D1%83%D0%BF%D1%80%D0%B0%D0%B2%D0%BB%D0%B5%D0%BD%D0%B8%D1%8F_%D1%81%D0%BE%D0%B4%D0%B5%D1%80%D0%B6%D0%B8%D0%BC%D1%8B%D0%BC"</w:t>
        </w:r>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color w:val="000000"/>
            <w:spacing w:val="0"/>
            <w:position w:val="0"/>
            <w:sz w:val="28"/>
            <w:u w:val="single"/>
            <w:shd w:fill="auto" w:val="clear"/>
          </w:rPr>
          <w:t xml:space="preserve"> HYPERLINK "https://ru.wikipedia.org/wiki/%D0%A1%D0%B8%D1%81%D1%82%D0%B5%D0%BC%D0%B0_%D1%83%D0%BF%D1%80%D0%B0%D0%B2%D0%BB%D0%B5%D0%BD%D0%B8%D1%8F_%D1%81%D0%BE%D0%B4%D0%B5%D1%80%D0%B6%D0%B8%D0%BC%D1%8B%D0%BC"</w:t>
        </w:r>
        <w:r>
          <w:rPr>
            <w:rFonts w:ascii="Times New Roman" w:hAnsi="Times New Roman" w:cs="Times New Roman" w:eastAsia="Times New Roman"/>
            <w:color w:val="000000"/>
            <w:spacing w:val="0"/>
            <w:position w:val="0"/>
            <w:sz w:val="28"/>
            <w:u w:val="single"/>
            <w:shd w:fill="auto" w:val="clear"/>
          </w:rPr>
          <w:t xml:space="preserve">содержимым</w:t>
        </w:r>
      </w:hyperlink>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сайта с </w:t>
      </w:r>
      <w:hyperlink xmlns:r="http://schemas.openxmlformats.org/officeDocument/2006/relationships" r:id="docRId7">
        <w:r>
          <w:rPr>
            <w:rFonts w:ascii="Times New Roman" w:hAnsi="Times New Roman" w:cs="Times New Roman" w:eastAsia="Times New Roman"/>
            <w:color w:val="000000"/>
            <w:spacing w:val="0"/>
            <w:position w:val="0"/>
            <w:sz w:val="28"/>
            <w:u w:val="single"/>
            <w:shd w:fill="auto" w:val="clear"/>
          </w:rPr>
          <w:t xml:space="preserve">открытым исходным кодом</w:t>
        </w:r>
      </w:hyperlink>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написана на </w:t>
      </w:r>
      <w:hyperlink xmlns:r="http://schemas.openxmlformats.org/officeDocument/2006/relationships" r:id="docRId8">
        <w:r>
          <w:rPr>
            <w:rFonts w:ascii="Times New Roman" w:hAnsi="Times New Roman" w:cs="Times New Roman" w:eastAsia="Times New Roman"/>
            <w:color w:val="000000"/>
            <w:spacing w:val="0"/>
            <w:position w:val="0"/>
            <w:sz w:val="28"/>
            <w:u w:val="single"/>
            <w:shd w:fill="auto" w:val="clear"/>
          </w:rPr>
          <w:t xml:space="preserve">PHP</w:t>
        </w:r>
      </w:hyperlink>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сервер базы данных </w:t>
      </w:r>
      <w:r>
        <w:rPr>
          <w:rFonts w:ascii="Times New Roman" w:hAnsi="Times New Roman" w:cs="Times New Roman" w:eastAsia="Times New Roman"/>
          <w:color w:val="000000"/>
          <w:spacing w:val="0"/>
          <w:position w:val="0"/>
          <w:sz w:val="28"/>
          <w:shd w:fill="auto" w:val="clear"/>
        </w:rPr>
        <w:t xml:space="preserve">— </w:t>
      </w:r>
      <w:hyperlink xmlns:r="http://schemas.openxmlformats.org/officeDocument/2006/relationships" r:id="docRId9">
        <w:r>
          <w:rPr>
            <w:rFonts w:ascii="Times New Roman" w:hAnsi="Times New Roman" w:cs="Times New Roman" w:eastAsia="Times New Roman"/>
            <w:color w:val="000000"/>
            <w:spacing w:val="0"/>
            <w:position w:val="0"/>
            <w:sz w:val="28"/>
            <w:u w:val="single"/>
            <w:shd w:fill="auto" w:val="clear"/>
          </w:rPr>
          <w:t xml:space="preserve">MySQL</w:t>
        </w:r>
      </w:hyperlink>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Сфера применения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от </w:t>
      </w:r>
      <w:hyperlink xmlns:r="http://schemas.openxmlformats.org/officeDocument/2006/relationships" r:id="docRId10">
        <w:r>
          <w:rPr>
            <w:rFonts w:ascii="Times New Roman" w:hAnsi="Times New Roman" w:cs="Times New Roman" w:eastAsia="Times New Roman"/>
            <w:color w:val="000000"/>
            <w:spacing w:val="0"/>
            <w:position w:val="0"/>
            <w:sz w:val="28"/>
            <w:u w:val="single"/>
            <w:shd w:fill="auto" w:val="clear"/>
          </w:rPr>
          <w:t xml:space="preserve">блогов</w:t>
        </w:r>
      </w:hyperlink>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до достаточно сложных новостных ресурсов. Встроенная система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тем</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и </w:t>
      </w:r>
      <w:r>
        <w:rPr>
          <w:rFonts w:ascii="Times New Roman" w:hAnsi="Times New Roman" w:cs="Times New Roman" w:eastAsia="Times New Roman"/>
          <w:color w:val="000000"/>
          <w:spacing w:val="0"/>
          <w:position w:val="0"/>
          <w:sz w:val="28"/>
          <w:shd w:fill="auto" w:val="clear"/>
        </w:rPr>
        <w:t xml:space="preserve">«</w:t>
      </w:r>
      <w:hyperlink xmlns:r="http://schemas.openxmlformats.org/officeDocument/2006/relationships" r:id="docRId11">
        <w:r>
          <w:rPr>
            <w:rFonts w:ascii="Times New Roman" w:hAnsi="Times New Roman" w:cs="Times New Roman" w:eastAsia="Times New Roman"/>
            <w:color w:val="000000"/>
            <w:spacing w:val="0"/>
            <w:position w:val="0"/>
            <w:sz w:val="28"/>
            <w:u w:val="single"/>
            <w:shd w:fill="auto" w:val="clear"/>
          </w:rPr>
          <w:t xml:space="preserve">плагинов</w:t>
        </w:r>
      </w:hyperlink>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вместе с удачной </w:t>
      </w:r>
      <w:hyperlink xmlns:r="http://schemas.openxmlformats.org/officeDocument/2006/relationships" r:id="docRId12">
        <w:r>
          <w:rPr>
            <w:rFonts w:ascii="Times New Roman" w:hAnsi="Times New Roman" w:cs="Times New Roman" w:eastAsia="Times New Roman"/>
            <w:color w:val="000000"/>
            <w:spacing w:val="0"/>
            <w:position w:val="0"/>
            <w:sz w:val="28"/>
            <w:u w:val="single"/>
            <w:shd w:fill="auto" w:val="clear"/>
          </w:rPr>
          <w:t xml:space="preserve">архитектурой</w:t>
        </w:r>
      </w:hyperlink>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позволяет конструировать проекты широкой функциональной сложности.</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WooCommerce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это плагин для создания интернет-магазина на базе WordPress. Он позволяет добавлять товары, обрабатывать заказы, управлять запасами и проводить платежи.</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Microsoft Visio </w:t>
      </w:r>
      <w:r>
        <w:rPr>
          <w:rFonts w:ascii="Times New Roman" w:hAnsi="Times New Roman" w:cs="Times New Roman" w:eastAsia="Times New Roman"/>
          <w:color w:val="000000"/>
          <w:spacing w:val="0"/>
          <w:position w:val="0"/>
          <w:sz w:val="28"/>
          <w:shd w:fill="auto" w:val="clear"/>
        </w:rPr>
        <w:t xml:space="preserve">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Visio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Visual Studio Code </w:t>
      </w:r>
      <w:r>
        <w:rPr>
          <w:rFonts w:ascii="Times New Roman" w:hAnsi="Times New Roman" w:cs="Times New Roman" w:eastAsia="Times New Roman"/>
          <w:color w:val="000000"/>
          <w:spacing w:val="0"/>
          <w:position w:val="0"/>
          <w:sz w:val="28"/>
          <w:shd w:fill="auto" w:val="clear"/>
        </w:rPr>
        <w:t xml:space="preserve">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Модуль реализован на PHP с использованием стандартных возможностей WordPress и WooCommerce. Такой подход обеспечил несколько ключевых преимуществ:</w:t>
      </w:r>
    </w:p>
    <w:p>
      <w:pPr>
        <w:numPr>
          <w:ilvl w:val="0"/>
          <w:numId w:val="52"/>
        </w:numPr>
        <w:spacing w:before="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Полная совместимость с существующей платформой WordPress, на которой работает сайт компании.</w:t>
      </w:r>
    </w:p>
    <w:p>
      <w:pPr>
        <w:numPr>
          <w:ilvl w:val="0"/>
          <w:numId w:val="52"/>
        </w:numPr>
        <w:spacing w:before="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Использование проверенных механизмов WooCommerce для работы с товарами и заказами.</w:t>
      </w:r>
    </w:p>
    <w:p>
      <w:pPr>
        <w:numPr>
          <w:ilvl w:val="0"/>
          <w:numId w:val="52"/>
        </w:numPr>
        <w:spacing w:before="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Простота поддержки и дальнейшего развития системы.</w:t>
      </w:r>
    </w:p>
    <w:p>
      <w:pPr>
        <w:numPr>
          <w:ilvl w:val="0"/>
          <w:numId w:val="52"/>
        </w:numPr>
        <w:spacing w:before="0" w:after="0" w:line="276"/>
        <w:ind w:right="0" w:left="1429"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Надежность и безопасность, обеспечиваемые стандартными функциями WordPress.</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Особое внимание уделено безопасности системы. Все критические операции защищены nonce-токенами WordPress, реализована проверка прав доступа.</w:t>
      </w:r>
    </w:p>
    <w:p>
      <w:pPr>
        <w:spacing w:before="0" w:after="0" w:line="276"/>
        <w:ind w:right="0"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Таким образом, выбранный технологический стек, основанный на PHP и стандартных возможностях WordPress/WooCommerce, обеспечивает оптимальное сочетание надежности, производительности и простоты интеграции с существующей инфраструктурой действующего сайта детского оздоровительного лагеря АО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ЧЭМК</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2.3 </w:t>
      </w:r>
      <w:r>
        <w:rPr>
          <w:rFonts w:ascii="Times New Roman" w:hAnsi="Times New Roman" w:cs="Times New Roman" w:eastAsia="Times New Roman"/>
          <w:color w:val="auto"/>
          <w:spacing w:val="0"/>
          <w:position w:val="0"/>
          <w:sz w:val="28"/>
          <w:u w:val="single"/>
          <w:shd w:fill="auto" w:val="clear"/>
        </w:rPr>
        <w:t xml:space="preserve">Проектирование и разработка серверной части программного модуля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Серверная часть системы реализована с использованием стандартных механизмов WordPress - шорткодов и хуков, что обеспечивает простоту интеграции с любыми темами. Основной язык написания модуля- php, для валидации форм использовался такой язык, как JavaScript, что повышает удобство для заполнения форм и обработки данных.</w:t>
        <w:br/>
        <w:t xml:space="preserve">Шорткод в WordPress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специальная короткая команда в квадратных скобках, которая заменяется на более сложный код или функционал при загрузке страницы.</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Хуки в WordPress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специальные "крючки", которые позволяют добавлять свой код или изменять стандартное поведение сайта без редактирования исходных файлов WordPress.</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Akakul-booking.php- </w:t>
      </w:r>
      <w:r>
        <w:rPr>
          <w:rFonts w:ascii="Times New Roman" w:hAnsi="Times New Roman" w:cs="Times New Roman" w:eastAsia="Times New Roman"/>
          <w:color w:val="auto"/>
          <w:spacing w:val="0"/>
          <w:position w:val="0"/>
          <w:sz w:val="28"/>
          <w:shd w:fill="auto" w:val="clear"/>
        </w:rPr>
        <w:t xml:space="preserve">ядро модуля. Проверяет наличие WooCommerce, подключение стилей и скриптов, создание таблицы базы данных для хранения бронирования и активации модуля, удаление таблицы при удалении модуля, запуск основных классов(Akakul_Booking_Frontend, Akakul_Booking_Admin, Akakul_Booking_Manual).</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3 происходит создание и удаление таблицы при активации модуля. При активации плагина создается таблица woocommerce_bookings с полями для хранения данных о бронированиях (ID товара, ФИО, email, даты и т.д.). При удалении плагина эта таблица автоматически удаляется</w:t>
      </w:r>
    </w:p>
    <w:p>
      <w:pPr>
        <w:spacing w:before="0" w:after="160" w:line="259"/>
        <w:ind w:right="0" w:left="36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7791" w:dyaOrig="12628">
          <v:rect xmlns:o="urn:schemas-microsoft-com:office:office" xmlns:v="urn:schemas-microsoft-com:vml" id="rectole0000000003" style="width:389.550000pt;height:631.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 3- Создание и удаление таблицы при активации модуля.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4 представлено подключение стилей, благодаря которым можно изменять внешний вид веб-страницы.</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082" w:dyaOrig="6773">
          <v:rect xmlns:o="urn:schemas-microsoft-com:office:office" xmlns:v="urn:schemas-microsoft-com:vml" id="rectole0000000004" style="width:454.100000pt;height:338.6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Подключение файлов стилей.</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5 представлено подключение скриптов, благодаря которым можно применять какие-либо интерактивные действия, например, маска для поля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телефон</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208" w:dyaOrig="6243">
          <v:rect xmlns:o="urn:schemas-microsoft-com:office:office" xmlns:v="urn:schemas-microsoft-com:vml" id="rectole0000000005" style="width:460.400000pt;height:312.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Подключение скриптов.</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6 изображена функция, в которой формируется задачи для Cron(служит для выполнения запланированных задач в определённое время, дату или через интервал), а именно это задачи по удалению бронирований, если они не подтверждены в течение 24 часов, и не оплачены в течение 72 часов.</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331" w:dyaOrig="8893">
          <v:rect xmlns:o="urn:schemas-microsoft-com:office:office" xmlns:v="urn:schemas-microsoft-com:vml" id="rectole0000000006" style="width:466.550000pt;height:444.6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6" ShapeID="rectole0000000006" r:id="docRId19"/>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Обработчик событий Cron.</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7 подключаются основные классы, которые используются при разработке модуля.</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003" w:dyaOrig="1624">
          <v:rect xmlns:o="urn:schemas-microsoft-com:office:office" xmlns:v="urn:schemas-microsoft-com:vml" id="rectole0000000007" style="width:450.150000pt;height:81.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7" ShapeID="rectole0000000007" r:id="docRId21"/>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Рис.7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Подключение основных классов.</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Перейдем к классу - class-akakul-booking-admin, в котором находятся функции, которые отвечают за работу админки(отображение, фильтрация, управление бронированиями и выполнение SQL-запросов).</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object w:dxaOrig="9523" w:dyaOrig="3306">
          <v:rect xmlns:o="urn:schemas-microsoft-com:office:office" xmlns:v="urn:schemas-microsoft-com:vml" id="rectole0000000008" style="width:476.150000pt;height:165.3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r>
        <w:rPr>
          <w:rFonts w:ascii="Times New Roman" w:hAnsi="Times New Roman" w:cs="Times New Roman" w:eastAsia="Times New Roman"/>
          <w:color w:val="auto"/>
          <w:spacing w:val="0"/>
          <w:position w:val="0"/>
          <w:sz w:val="28"/>
          <w:shd w:fill="auto" w:val="clear"/>
        </w:rPr>
        <w:t xml:space="preserve">На рисунке 8 можно увидеть функцию __construct(), которая инициализирует класс и регистрирует хуки и шорткоды.</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Конструктор класса.</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9 представляет собой подключение стилей.</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2983">
          <v:rect xmlns:o="urn:schemas-microsoft-com:office:office" xmlns:v="urn:schemas-microsoft-com:vml" id="rectole0000000009" style="width:448.950000pt;height:149.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9" ShapeID="rectole0000000009" r:id="docRId25"/>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Рис.9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Подключение стилей.</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Рисунки 10 содержат в себе функции для добавления меню  и подменю в админ-панели.</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630" w:dyaOrig="5714">
          <v:rect xmlns:o="urn:schemas-microsoft-com:office:office" xmlns:v="urn:schemas-microsoft-com:vml" id="rectole0000000010" style="width:431.500000pt;height:285.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Добавление меню.</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6220">
          <v:rect xmlns:o="urn:schemas-microsoft-com:office:office" xmlns:v="urn:schemas-microsoft-com:vml" id="rectole0000000011" style="width:448.950000pt;height:311.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Рис.11- Добавление подменю.</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Рассмотрим функцию render_booking_admin_page()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основная страница в админке, включающая в себя снятие и подтверждение бронирования, а также фильтрацию, подробный код представлен на рисунках 12, 13, 14.</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9288" w:dyaOrig="9170">
          <v:rect xmlns:o="urn:schemas-microsoft-com:office:office" xmlns:v="urn:schemas-microsoft-com:vml" id="rectole0000000012" style="width:464.400000pt;height:458.5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Снятие бронирования.</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4573">
          <v:rect xmlns:o="urn:schemas-microsoft-com:office:office" xmlns:v="urn:schemas-microsoft-com:vml" id="rectole0000000013" style="width:448.950000pt;height:228.6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Рис.13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Подтверждение бронирования.</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8075">
          <v:rect xmlns:o="urn:schemas-microsoft-com:office:office" xmlns:v="urn:schemas-microsoft-com:vml" id="rectole0000000014" style="width:448.950000pt;height:403.7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4" ShapeID="rectole0000000014" r:id="docRId35"/>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Фильтрация.</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object w:dxaOrig="9504" w:dyaOrig="8985">
          <v:rect xmlns:o="urn:schemas-microsoft-com:office:office" xmlns:v="urn:schemas-microsoft-com:vml" id="rectole0000000015" style="width:475.200000pt;height:449.2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5" ShapeID="rectole0000000015" r:id="docRId37"/>
        </w:object>
      </w:r>
      <w:r>
        <w:rPr>
          <w:rFonts w:ascii="Times New Roman" w:hAnsi="Times New Roman" w:cs="Times New Roman" w:eastAsia="Times New Roman"/>
          <w:color w:val="auto"/>
          <w:spacing w:val="0"/>
          <w:position w:val="0"/>
          <w:sz w:val="28"/>
          <w:shd w:fill="auto" w:val="clear"/>
        </w:rPr>
        <w:t xml:space="preserve">Функция handle_delete_booking() обрабатывает 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email, возвращение товара на склад и удаление записи из таблицы бронирования. Функция представлена на рисунке 15.</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Функция удаления бронирования.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handle_export_excel() помогает  экспортировать данные бронирований в Excel-файл. Данная функция получает данные из БД, применяет те же фильтры, что и на странице бронирования, генерирует HTML таблицу, которую можно открыть в Excel. Подробнее в рисунках 16 и 17.</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8979" w:dyaOrig="11381">
          <v:rect xmlns:o="urn:schemas-microsoft-com:office:office" xmlns:v="urn:schemas-microsoft-com:vml" id="rectole0000000016" style="width:448.950000pt;height:569.0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6" ShapeID="rectole0000000016" r:id="docRId39"/>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Получение данных  с учетом фильтров.</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9196" w:dyaOrig="12925">
          <v:rect xmlns:o="urn:schemas-microsoft-com:office:office" xmlns:v="urn:schemas-microsoft-com:vml" id="rectole0000000017" style="width:459.800000pt;height:646.2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7" ShapeID="rectole0000000017" r:id="docRId41"/>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Рис.17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Генерация данных.</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object w:dxaOrig="9458" w:dyaOrig="4250">
          <v:rect xmlns:o="urn:schemas-microsoft-com:office:office" xmlns:v="urn:schemas-microsoft-com:vml" id="rectole0000000018" style="width:472.900000pt;height:212.5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8" ShapeID="rectole0000000018" r:id="docRId43"/>
        </w:object>
      </w:r>
      <w:r>
        <w:rPr>
          <w:rFonts w:ascii="Times New Roman" w:hAnsi="Times New Roman" w:cs="Times New Roman" w:eastAsia="Times New Roman"/>
          <w:color w:val="auto"/>
          <w:spacing w:val="0"/>
          <w:position w:val="0"/>
          <w:sz w:val="28"/>
          <w:shd w:fill="auto" w:val="clear"/>
        </w:rPr>
        <w:t xml:space="preserve">Функция send_booking_cancellation_email() отправляет email клиенту при отмене или удалении бронирования. Код на рисунке 18.</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Сообщение с причиной отмены.</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render_sql_query_page() предоставляет возможность выполнить SQL-запрос. Права доступа к этой странице есть только у администратора, соответственно при помощи данной функции можно выполнить SQL-запрос и получить ,например, таблицу модуля, которая создается при активации системы (wp_woocommerce_bookings). Подробнее на рисунке 19.</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9157" w:dyaOrig="6232">
          <v:rect xmlns:o="urn:schemas-microsoft-com:office:office" xmlns:v="urn:schemas-microsoft-com:vml" id="rectole0000000019" style="width:457.850000pt;height:311.6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9" ShapeID="rectole0000000019" r:id="docRId45"/>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Рис.19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Выполнение запроса и проверка на право доступа.</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Класс class-akakul-booking-manual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нем находится функционал для создания бронирования через адмн-панель.</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__construct()- инициализирует класс и добавляет хук для создания страницы бронирования в админ-панели. Код на рисунке 20.</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9285" w:dyaOrig="1520">
          <v:rect xmlns:o="urn:schemas-microsoft-com:office:office" xmlns:v="urn:schemas-microsoft-com:vml" id="rectole0000000020" style="width:464.250000pt;height:76.0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0" ShapeID="rectole0000000020" r:id="docRId47"/>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Инициализация класса и создание страницы бронирования.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add_admin_booking_page()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добавляет подменю. Код представлен на рисунке 21.</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8979" w:dyaOrig="3778">
          <v:rect xmlns:o="urn:schemas-microsoft-com:office:office" xmlns:v="urn:schemas-microsoft-com:vml" id="rectole0000000021" style="width:448.950000pt;height:188.9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1" ShapeID="rectole0000000021" r:id="docRId49"/>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Код для реализации подменю.</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render_admin_booking_page() - отображает страницу бронирования в админ-панели. В ней реализовано проверка прав доступа, обрабатывается отправка формы, есть возможность выбрать товар для бронирования. Подробнее на рисунках 22, 23, 24.</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8979" w:dyaOrig="1854">
          <v:rect xmlns:o="urn:schemas-microsoft-com:office:office" xmlns:v="urn:schemas-microsoft-com:vml" id="rectole0000000022" style="width:448.950000pt;height:92.7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2" ShapeID="rectole0000000022" r:id="docRId51"/>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Рис.22- Проверка прав доступа.</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4965">
          <v:rect xmlns:o="urn:schemas-microsoft-com:office:office" xmlns:v="urn:schemas-microsoft-com:vml" id="rectole0000000023" style="width:448.950000pt;height:248.2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3" ShapeID="rectole0000000023" r:id="docRId53"/>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Рис.23 - Обработка отправки формы.</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264" w:dyaOrig="3052">
          <v:rect xmlns:o="urn:schemas-microsoft-com:office:office" xmlns:v="urn:schemas-microsoft-com:vml" id="rectole0000000024" style="width:413.200000pt;height:152.6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4" ShapeID="rectole0000000024" r:id="docRId55"/>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Получение товаров.</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validate_admin_booking_data() - проверяет корректность данных, отправленных через форму, представлена на рисунке 25.</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object w:dxaOrig="9699" w:dyaOrig="6508">
          <v:rect xmlns:o="urn:schemas-microsoft-com:office:office" xmlns:v="urn:schemas-microsoft-com:vml" id="rectole0000000025" style="width:484.950000pt;height:325.4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5" ShapeID="rectole0000000025" r:id="docRId57"/>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Валидация формы.</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handle_admin_booking_request() - обрабатывает и сохраняет данные бронирования. Сначала проверяется товар на его доступность, уменьшение товара при брони, генерация уникального токена для подтверждения, сохранение в таблицу wp_woocommerce_bookings со </w:t>
      </w:r>
      <w:r>
        <w:object w:dxaOrig="9820" w:dyaOrig="5241">
          <v:rect xmlns:o="urn:schemas-microsoft-com:office:office" xmlns:v="urn:schemas-microsoft-com:vml" id="rectole0000000026" style="width:491.000000pt;height:262.0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6" ShapeID="rectole0000000026" r:id="docRId59"/>
        </w:object>
      </w:r>
      <w:r>
        <w:rPr>
          <w:rFonts w:ascii="Times New Roman" w:hAnsi="Times New Roman" w:cs="Times New Roman" w:eastAsia="Times New Roman"/>
          <w:color w:val="auto"/>
          <w:spacing w:val="0"/>
          <w:position w:val="0"/>
          <w:sz w:val="28"/>
          <w:shd w:fill="auto" w:val="clear"/>
        </w:rPr>
        <w:t xml:space="preserve">статусом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подтверждено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Код представлен на рисунках 26, 27, 28.</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Проверка на заполнение и наличие товара.</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9037" w:dyaOrig="5229">
          <v:rect xmlns:o="urn:schemas-microsoft-com:office:office" xmlns:v="urn:schemas-microsoft-com:vml" id="rectole0000000027" style="width:451.850000pt;height:261.4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7" ShapeID="rectole0000000027" r:id="docRId61"/>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Рис.27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Уменьшение товара на складе и сбор данных из формы.</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6819">
          <v:rect xmlns:o="urn:schemas-microsoft-com:office:office" xmlns:v="urn:schemas-microsoft-com:vml" id="rectole0000000028" style="width:448.950000pt;height:340.9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28" ShapeID="rectole0000000028" r:id="docRId63"/>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Генерация токена подтверждения и сохранение бронирования в БД.</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generate_booking_token() - генерирует уникальный токен для бронирования. Токен - это случайно сгенерированная строка символов которая служит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цифровым ключом</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для идентификации и подтверждения бронирования. Код на рисунке 29.</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7815" w:dyaOrig="1428">
          <v:rect xmlns:o="urn:schemas-microsoft-com:office:office" xmlns:v="urn:schemas-microsoft-com:vml" id="rectole0000000029" style="width:390.750000pt;height:71.4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29" ShapeID="rectole0000000029" r:id="docRId65"/>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Рис.29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Генерация случайного токена.</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30 можно увидеть как реализовано меню в админ-панели.</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4609" w:dyaOrig="10575">
          <v:rect xmlns:o="urn:schemas-microsoft-com:office:office" xmlns:v="urn:schemas-microsoft-com:vml" id="rectole0000000030" style="width:230.450000pt;height:528.7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0" ShapeID="rectole0000000030" r:id="docRId67"/>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 30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Меню в админ-панели.</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object w:dxaOrig="9518" w:dyaOrig="3096">
          <v:rect xmlns:o="urn:schemas-microsoft-com:office:office" xmlns:v="urn:schemas-microsoft-com:vml" id="rectole0000000031" style="width:475.900000pt;height:154.8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1" ShapeID="rectole0000000031" r:id="docRId69"/>
        </w:object>
      </w:r>
      <w:r>
        <w:rPr>
          <w:rFonts w:ascii="Times New Roman" w:hAnsi="Times New Roman" w:cs="Times New Roman" w:eastAsia="Times New Roman"/>
          <w:color w:val="auto"/>
          <w:spacing w:val="0"/>
          <w:position w:val="0"/>
          <w:sz w:val="28"/>
          <w:shd w:fill="auto" w:val="clear"/>
        </w:rPr>
        <w:t xml:space="preserve">Рисунок 31 представляет собой основную страницу с выводом всех бронирований.</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Основная страница в админ-панели.</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32 представлена форма для бронирования, как ее видит администратор.</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811" w:dyaOrig="11001">
          <v:rect xmlns:o="urn:schemas-microsoft-com:office:office" xmlns:v="urn:schemas-microsoft-com:vml" id="rectole0000000032" style="width:440.550000pt;height:550.05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2" ShapeID="rectole0000000032" r:id="docRId71"/>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Рис.32- Форма для бронирования путёвки администратором.</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33- как выглядит форма для SQL-запросов в админ-панели.</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551" w:dyaOrig="3499">
          <v:rect xmlns:o="urn:schemas-microsoft-com:office:office" xmlns:v="urn:schemas-microsoft-com:vml" id="rectole0000000033" style="width:427.550000pt;height:174.9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3" ShapeID="rectole0000000033" r:id="docRId73"/>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Рис.33- Форма для SQL-запросов.</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2.4 </w:t>
      </w:r>
      <w:r>
        <w:rPr>
          <w:rFonts w:ascii="Times New Roman" w:hAnsi="Times New Roman" w:cs="Times New Roman" w:eastAsia="Times New Roman"/>
          <w:color w:val="auto"/>
          <w:spacing w:val="0"/>
          <w:position w:val="0"/>
          <w:sz w:val="28"/>
          <w:u w:val="single"/>
          <w:shd w:fill="auto" w:val="clear"/>
        </w:rPr>
        <w:t xml:space="preserve">Проектирование и разработка клиентской части программного модуля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Клиентская часть отвечает  за взаимодействие с пользователями на сайте: отображение формы бронирования, сбор данных и их валидацию перед отправкой на сервер. Дизайн и стилизация форм были разработаны в едином стиле с существующим сайтом, чтобы обеспечить бесшовную интеграцию и сохранить визуальную согласованность.</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Класс реализует функционал бронирования товаров со стороны пользователя, то есть с клиентской части модуля.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__construct() - инициализирует класс и регистрирует хуки и шорткоды. Код на рисунке 34.</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2108">
          <v:rect xmlns:o="urn:schemas-microsoft-com:office:office" xmlns:v="urn:schemas-microsoft-com:vml" id="rectole0000000034" style="width:448.950000pt;height:105.4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4" ShapeID="rectole0000000034" r:id="docRId75"/>
        </w:object>
      </w:r>
      <w:r>
        <w:rPr>
          <w:rFonts w:ascii="Times New Roman" w:hAnsi="Times New Roman" w:cs="Times New Roman" w:eastAsia="Times New Roman"/>
          <w:color w:val="auto"/>
          <w:spacing w:val="0"/>
          <w:position w:val="0"/>
          <w:sz w:val="28"/>
          <w:shd w:fill="auto" w:val="clear"/>
        </w:rPr>
        <w:t xml:space="preserve">Рис.34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Инициализация класса, регистрация хуков и шорткодов.</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add_booking_button() добавляет кнопку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забронировать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 странице товара.</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8979" w:dyaOrig="5310">
          <v:rect xmlns:o="urn:schemas-microsoft-com:office:office" xmlns:v="urn:schemas-microsoft-com:vml" id="rectole0000000035" style="width:448.950000pt;height:265.5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5" ShapeID="rectole0000000035" r:id="docRId77"/>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Кнопка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забронировать</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36 представлено, как выглядит кнопка для бронирования товара на сайте.</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54" w:dyaOrig="5483">
          <v:rect xmlns:o="urn:schemas-microsoft-com:office:office" xmlns:v="urn:schemas-microsoft-com:vml" id="rectole0000000036" style="width:447.700000pt;height:274.1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6" ShapeID="rectole0000000036" r:id="docRId79"/>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Кнопка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забронировать</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render_booking_page() - обрабатывает шорткод и отображает форму бронирования, получение товара по ID, обработка запроса бронирования, если форма отправлена. Подробнее на рисунке 37.</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085" w:dyaOrig="6209">
          <v:rect xmlns:o="urn:schemas-microsoft-com:office:office" xmlns:v="urn:schemas-microsoft-com:vml" id="rectole0000000037" style="width:454.250000pt;height:310.4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7" ShapeID="rectole0000000037" r:id="docRId81"/>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Рис.37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Обработка шорткода и отображение формы бронирования.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get_booking_form() генерирует HTML-форму бронирования товара, а также после нажатия на кнопку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забронировать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появляется модальное окно с сообщением о просьбе перейти на электронную почту. Код представлен на рисунках 38 и 39.</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849" w:dyaOrig="8386">
          <v:rect xmlns:o="urn:schemas-microsoft-com:office:office" xmlns:v="urn:schemas-microsoft-com:vml" id="rectole0000000038" style="width:492.450000pt;height:419.3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38" ShapeID="rectole0000000038" r:id="docRId83"/>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748" w:dyaOrig="2430">
          <v:rect xmlns:o="urn:schemas-microsoft-com:office:office" xmlns:v="urn:schemas-microsoft-com:vml" id="rectole0000000039" style="width:487.400000pt;height:121.50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39" ShapeID="rectole0000000039" r:id="docRId85"/>
        </w:object>
      </w:r>
      <w:r>
        <w:rPr>
          <w:rFonts w:ascii="Times New Roman" w:hAnsi="Times New Roman" w:cs="Times New Roman" w:eastAsia="Times New Roman"/>
          <w:color w:val="auto"/>
          <w:spacing w:val="0"/>
          <w:position w:val="0"/>
          <w:sz w:val="28"/>
          <w:shd w:fill="auto" w:val="clear"/>
        </w:rPr>
        <w:t xml:space="preserve">Рис.38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Форма для бронирования.</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Рис.39 - Модальное окно.</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рисунках 40 и 41 можно увидеть как выглядит форма для бронирования путевки, а также модальное окно с важной информацией о последующих действиях.</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117" w:dyaOrig="9077">
          <v:rect xmlns:o="urn:schemas-microsoft-com:office:office" xmlns:v="urn:schemas-microsoft-com:vml" id="rectole0000000040" style="width:455.850000pt;height:453.85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0" ShapeID="rectole0000000040" r:id="docRId87"/>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Форма для бронирования на сайте.</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8961" w:dyaOrig="3268">
          <v:rect xmlns:o="urn:schemas-microsoft-com:office:office" xmlns:v="urn:schemas-microsoft-com:vml" id="rectole0000000041" style="width:448.050000pt;height:163.4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1" ShapeID="rectole0000000041" r:id="docRId89"/>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Модальное окно на сайте.</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generate_booking_token()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генерирует уникальный токен подтверждения, код представлен на рисунке 42.</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8670" w:dyaOrig="1624">
          <v:rect xmlns:o="urn:schemas-microsoft-com:office:office" xmlns:v="urn:schemas-microsoft-com:vml" id="rectole0000000042" style="width:433.500000pt;height:81.20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2" ShapeID="rectole0000000042" r:id="docRId91"/>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Уникальный код подтверждения.</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object w:dxaOrig="9663" w:dyaOrig="7418">
          <v:rect xmlns:o="urn:schemas-microsoft-com:office:office" xmlns:v="urn:schemas-microsoft-com:vml" id="rectole0000000043" style="width:483.150000pt;height:370.90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43" ShapeID="rectole0000000043" r:id="docRId93"/>
        </w:object>
      </w:r>
      <w:r>
        <w:rPr>
          <w:rFonts w:ascii="Times New Roman" w:hAnsi="Times New Roman" w:cs="Times New Roman" w:eastAsia="Times New Roman"/>
          <w:color w:val="auto"/>
          <w:spacing w:val="0"/>
          <w:position w:val="0"/>
          <w:sz w:val="28"/>
          <w:shd w:fill="auto" w:val="clear"/>
        </w:rPr>
        <w:t xml:space="preserve">Функция handle_booking_request() обрабатывает запрос на бронирование товара.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 возвращение ошибок, если есть и отправка email с ссылкой подтверждения. Код функционала на рисунках 43,44 и 45.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Рис.43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Валидация полей и их проверка.</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809" w:dyaOrig="5045">
          <v:rect xmlns:o="urn:schemas-microsoft-com:office:office" xmlns:v="urn:schemas-microsoft-com:vml" id="rectole0000000044" style="width:490.450000pt;height:252.25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Metafile" DrawAspect="Content" ObjectID="0000000044" ShapeID="rectole0000000044" r:id="docRId95"/>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Уменьшение товара на складе, установка срока подтверждения.</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024" w:dyaOrig="2304">
          <v:rect xmlns:o="urn:schemas-microsoft-com:office:office" xmlns:v="urn:schemas-microsoft-com:vml" id="rectole0000000045" style="width:451.200000pt;height:115.20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Metafile" DrawAspect="Content" ObjectID="0000000045" ShapeID="rectole0000000045" r:id="docRId97"/>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Отправка письма на email.</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Как выглядит форма с некорректным вводом данных и как отображаются ошибки продемонстрировано на рисунке 46.</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8734" w:dyaOrig="9999">
          <v:rect xmlns:o="urn:schemas-microsoft-com:office:office" xmlns:v="urn:schemas-microsoft-com:vml" id="rectole0000000046" style="width:436.700000pt;height:499.9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6" ShapeID="rectole0000000046" r:id="docRId99"/>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Рис.46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Некорректный ввод данных.</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log_booking() - сохраняет данные бронирования в базу данных. Код на рисунке 47.</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9025" w:dyaOrig="5656">
          <v:rect xmlns:o="urn:schemas-microsoft-com:office:office" xmlns:v="urn:schemas-microsoft-com:vml" id="rectole0000000047" style="width:451.250000pt;height:282.80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Metafile" DrawAspect="Content" ObjectID="0000000047" ShapeID="rectole0000000047" r:id="docRId101"/>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Рис.47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Функция log_booking()</w:t>
      </w:r>
    </w:p>
    <w:p>
      <w:pPr>
        <w:spacing w:before="0" w:after="0" w:line="276"/>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Функция handle_booking_confirmation() обрабатывает подтверждение бронирования по токену.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email.</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192" w:dyaOrig="9492">
          <v:rect xmlns:o="urn:schemas-microsoft-com:office:office" xmlns:v="urn:schemas-microsoft-com:vml" id="rectole0000000048" style="width:459.600000pt;height:474.60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Metafile" DrawAspect="Content" ObjectID="0000000048" ShapeID="rectole0000000048" r:id="docRId103"/>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Проверка на наличие токена и товара.</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064" w:dyaOrig="8490">
          <v:rect xmlns:o="urn:schemas-microsoft-com:office:office" xmlns:v="urn:schemas-microsoft-com:vml" id="rectole0000000049" style="width:453.200000pt;height:424.50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49" ShapeID="rectole0000000049" r:id="docRId105"/>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Рис.49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Обновление статуса бронирования и работа с заказом.</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9746" w:dyaOrig="6888">
          <v:rect xmlns:o="urn:schemas-microsoft-com:office:office" xmlns:v="urn:schemas-microsoft-com:vml" id="rectole0000000050" style="width:487.300000pt;height:344.400000pt" o:preferrelative="t" o:ole="">
            <o:lock v:ext="edit"/>
            <v:imagedata xmlns:r="http://schemas.openxmlformats.org/officeDocument/2006/relationships" r:id="docRId108" o:title=""/>
          </v:rect>
          <o:OLEObject xmlns:r="http://schemas.openxmlformats.org/officeDocument/2006/relationships" xmlns:o="urn:schemas-microsoft-com:office:office" Type="Embed" ProgID="StaticMetafile" DrawAspect="Content" ObjectID="0000000050" ShapeID="rectole0000000050" r:id="docRId107"/>
        </w:objec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Рис.50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Отправка письма со ссылкой на оплату.</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2.5 </w:t>
      </w:r>
      <w:r>
        <w:rPr>
          <w:rFonts w:ascii="Times New Roman" w:hAnsi="Times New Roman" w:cs="Times New Roman" w:eastAsia="Times New Roman"/>
          <w:color w:val="auto"/>
          <w:spacing w:val="0"/>
          <w:position w:val="0"/>
          <w:sz w:val="28"/>
          <w:u w:val="single"/>
          <w:shd w:fill="auto" w:val="clear"/>
        </w:rPr>
        <w:t xml:space="preserve">Алгоритм внедрения программного модуля в бизнес-процесс</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Подготовительный этап:</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специфику работы детского лагеря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сезонность, ограниченное количество мест.</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Параллельно проводится оценка инфраструктуры сайта. Поскольку модуль будет работать как WordPress-плагин,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Одним из ключевых аспектов подготовительного этапа является обучение персонала. Администраторы сайта должны освоить управление модулем: просмотр отчета по заявкам(бронированиям), умение создать заявку от имени администратора, просмотр базы данных в настройках плагина. Для этого проводятся обучающие сессии, а также разрабатываются инструкции.</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 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Установка и настройка модуля:</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завершения подготовительных работ осуществляется развертывание модуля на сайте детского лагеря. Плагин устанавливается через административную панель WordPress,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Далее выполняется детальное конфигурирование модуля. Подключаются email-уведомления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автоматическая отправка подтверждений брони, отправление ссылки для оплаты после подтверждения. </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Перед запуском модуля в эксплуатацию проводится тщательное тестирование. Проверяется корректность работы всех функций: создание брони, видимость брони в панели у администратора, корректные переходы по ссылкам, экспорт данных о бронированиях в excel.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Запуск и сопровождение:</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успешного тестирования модуль переводится в эксплуатацию. На этом этапе доступ к онлайн-бронированию получает ограниченная группа пользователей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отдел продаж, админиатртор.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назначить ответственного за мониторинг работы системы, оперативное реагирование на возможные сбои и консультирование пользователей.</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Оценка эффективности внедрения:</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нескольких недель или месяцев работы модуля проводится анализ его эффективности. Собирается обратная связь от родителей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насколько удобным оказался процесс бронирования, были ли технические сложности. Опрашиваются сотрудники лагеря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сократилось ли время обработки заявок, уменьшилось ли количество ошибок.</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Сравниваются ключевые показатели 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pPr>
        <w:keepNext w:val="true"/>
        <w:keepLines w:val="true"/>
        <w:spacing w:before="0" w:after="0" w:line="276"/>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2.6 </w:t>
      </w:r>
      <w:r>
        <w:rPr>
          <w:rFonts w:ascii="Times New Roman" w:hAnsi="Times New Roman" w:cs="Times New Roman" w:eastAsia="Times New Roman"/>
          <w:color w:val="auto"/>
          <w:spacing w:val="0"/>
          <w:position w:val="0"/>
          <w:sz w:val="28"/>
          <w:u w:val="single"/>
          <w:shd w:fill="auto" w:val="clear"/>
        </w:rPr>
        <w:t xml:space="preserve">Условия эксплуатации</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Модуль онлайн-бронирования создан для работы с интернет-магазинами на WordPress и WooCommerce. Он позволяет клиентам бронировать товары прямо на сайте, а администраторам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управлять этими бронированиями. </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Для работы модуля нужен сайт на WordPress с установленным WooCommerce.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ребенка, дату рождения ребенка, email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Администратор видит все бронирования в специальном разделе админки.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email. </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Для безопасности все личные данные клиентов защищены. Телефоны и email проверяются на правильность ввода. Письма отправляются в защищенном формате. </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Модуль прост в использовании и не требует сложных настроек. Он помогает магазинам удобно организовывать бронирование товаров, а клиентам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pPr>
        <w:spacing w:before="0" w:after="16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160" w:line="276"/>
        <w:ind w:right="0" w:left="0" w:firstLine="0"/>
        <w:jc w:val="left"/>
        <w:rPr>
          <w:rFonts w:ascii="Times New Roman" w:hAnsi="Times New Roman" w:cs="Times New Roman" w:eastAsia="Times New Roman"/>
          <w:color w:val="000000"/>
          <w:spacing w:val="0"/>
          <w:position w:val="0"/>
          <w:sz w:val="28"/>
          <w:shd w:fill="auto" w:val="clear"/>
        </w:rPr>
      </w:pPr>
    </w:p>
    <w:p>
      <w:pPr>
        <w:keepNext w:val="true"/>
        <w:keepLines w:val="true"/>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РАСЧЕТ ЭКОНОМИЧЕСКОЙ ЭФФЕКТИВНОСТИ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 </w:t>
      </w:r>
      <w:r>
        <w:rPr>
          <w:rFonts w:ascii="Times New Roman" w:hAnsi="Times New Roman" w:cs="Times New Roman" w:eastAsia="Times New Roman"/>
          <w:color w:val="auto"/>
          <w:spacing w:val="0"/>
          <w:position w:val="0"/>
          <w:sz w:val="28"/>
          <w:shd w:fill="auto" w:val="clear"/>
        </w:rPr>
        <w:t xml:space="preserve">Капитальные затраты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разработке веб приложения экономическая эффективность определяется в результате расчетов капитальных и текущих (эксплуатационных) затрат до и после внедрения веб приложения.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Основной характеристикой капитальных затрат является продолжительность их использования.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Капитальные затраты рассчитываются по формуле 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 Кзпл + Ка+ Кэ, где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капитальные затраты,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Кзпл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заработную плату разработчику со страховыми взносами во внебюджетные фонды,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амортизацию на период разработки,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Эоб- затраты на электроэнергию на период разработки.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3.1.1. </w:t>
      </w:r>
      <w:r>
        <w:rPr>
          <w:rFonts w:ascii="Times New Roman" w:hAnsi="Times New Roman" w:cs="Times New Roman" w:eastAsia="Times New Roman"/>
          <w:color w:val="auto"/>
          <w:spacing w:val="0"/>
          <w:position w:val="0"/>
          <w:sz w:val="28"/>
          <w:shd w:fill="auto" w:val="clear"/>
        </w:rPr>
        <w:t xml:space="preserve">Затраты на заработную плату разработчику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Заработная плата (оплата труда работника)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Страховые взносы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платежи, которые государство взимает с работодателей на финансовое обеспечение реализации прав застрахованных лиц на получение обеспечения по тому или иному виду обязательного социального страхования.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премии;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отпускные и компенсации за неиспользованный отпуск;</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материальная помощь более 4000 руб. на одного сотрудника за год.</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Формула расчёта заработной платы при повременно премиальной системе оплаты труда: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Сзпл= (ЧТС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Фэф)*(1+n</w:t>
      </w:r>
      <w:r>
        <w:rPr>
          <w:rFonts w:ascii="Times New Roman" w:hAnsi="Times New Roman" w:cs="Times New Roman" w:eastAsia="Times New Roman"/>
          <w:color w:val="auto"/>
          <w:spacing w:val="0"/>
          <w:position w:val="0"/>
          <w:sz w:val="28"/>
          <w:shd w:fill="auto" w:val="clear"/>
          <w:vertAlign w:val="subscript"/>
        </w:rPr>
        <w:t xml:space="preserve">прем</w:t>
      </w:r>
      <w:r>
        <w:rPr>
          <w:rFonts w:ascii="Times New Roman" w:hAnsi="Times New Roman" w:cs="Times New Roman" w:eastAsia="Times New Roman"/>
          <w:color w:val="auto"/>
          <w:spacing w:val="0"/>
          <w:position w:val="0"/>
          <w:sz w:val="28"/>
          <w:shd w:fill="auto" w:val="clear"/>
        </w:rPr>
        <w:t xml:space="preserve"> %/100%), где: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Сзпл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расходы на заработную плату,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ЧТС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часовая тарифная ставка по трудовому договору,</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Фэф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эффективный фонд отработанного времени,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w:t>
      </w:r>
      <w:r>
        <w:rPr>
          <w:rFonts w:ascii="Times New Roman" w:hAnsi="Times New Roman" w:cs="Times New Roman" w:eastAsia="Times New Roman"/>
          <w:color w:val="auto"/>
          <w:spacing w:val="0"/>
          <w:position w:val="0"/>
          <w:sz w:val="28"/>
          <w:shd w:fill="auto" w:val="clear"/>
          <w:vertAlign w:val="subscript"/>
        </w:rPr>
        <w:t xml:space="preserve">прем </w:t>
      </w:r>
      <w:r>
        <w:rPr>
          <w:rFonts w:ascii="Times New Roman" w:hAnsi="Times New Roman" w:cs="Times New Roman" w:eastAsia="Times New Roman"/>
          <w:color w:val="auto"/>
          <w:spacing w:val="0"/>
          <w:position w:val="0"/>
          <w:sz w:val="28"/>
          <w:shd w:fill="auto" w:val="clear"/>
        </w:rPr>
        <w:t xml:space="preserve"> - процент начисляемой премии.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Страховые взносы во внебюджетные формы считаются по формуле: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Ссвз = Сзпл * 30%, где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Ссвз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взносы в страховые фонды,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Сзпл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расходы на заработную плату разработчику за период разработки.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Эффективный фонд: 15.12.2024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15.05.2025 (</w:t>
      </w:r>
      <w:r>
        <w:rPr>
          <w:rFonts w:ascii="Times New Roman" w:hAnsi="Times New Roman" w:cs="Times New Roman" w:eastAsia="Times New Roman"/>
          <w:color w:val="auto"/>
          <w:spacing w:val="0"/>
          <w:position w:val="0"/>
          <w:sz w:val="28"/>
          <w:shd w:fill="auto" w:val="clear"/>
        </w:rPr>
        <w:t xml:space="preserve">Итого 5 месяцев, 152 дня, 792 часов)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Сзпл = (284,09 *792)*(1+40%/100%)= 314998, 99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Ссвз=  314998, 99 *30% = 94499,7 (руб.)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страховые взносы.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3.1.2. </w:t>
      </w:r>
      <w:r>
        <w:rPr>
          <w:rFonts w:ascii="Times New Roman" w:hAnsi="Times New Roman" w:cs="Times New Roman" w:eastAsia="Times New Roman"/>
          <w:color w:val="auto"/>
          <w:spacing w:val="0"/>
          <w:position w:val="0"/>
          <w:sz w:val="28"/>
          <w:shd w:fill="auto" w:val="clear"/>
        </w:rPr>
        <w:t xml:space="preserve">Затраты на амортизацию на период разработки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Амортизация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Организация что-то приобретает профессиональное оборудование;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Далее фиксируется полная стоимость покупки;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Определяется наценка на товар или услугу, которые производит организация;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Производятся регулярные отчисления.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Далее, когда актив изнашивается, его могут либо списать и заменить на новый, либо использовать дальше и получать уже чистую прибыль.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Сумма амортизации определяется по формуле 4:</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 = (Сп * На) / 100%, (4)</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где СА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сумма амортизационных отчислений за год,</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первоначальная стоимость основных фондов,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норма амортизации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Норма амортизации оборудования рассчитывается по формуле 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 (1 / Та) * 100%, (5)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где 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норма амортизации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срок полезного использования оборудования в годах.</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Норма амортизации и первоначальная стоимость представлены в таблице 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1 - Норма амортизации и первоначальная стоимость оборудования.</w:t>
      </w:r>
    </w:p>
    <w:tbl>
      <w:tblPr/>
      <w:tblGrid>
        <w:gridCol w:w="562"/>
        <w:gridCol w:w="3261"/>
        <w:gridCol w:w="3685"/>
        <w:gridCol w:w="1837"/>
      </w:tblGrid>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Наименование оборудования</w:t>
            </w:r>
          </w:p>
        </w:tc>
        <w:tc>
          <w:tcPr>
            <w:tcW w:w="36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Первоначальная стоимость (руб.)</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Норма амортизации</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ПК PC-X4657900</w:t>
            </w:r>
          </w:p>
        </w:tc>
        <w:tc>
          <w:tcPr>
            <w:tcW w:w="36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60000</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33</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Монитор АОС</w:t>
            </w:r>
          </w:p>
        </w:tc>
        <w:tc>
          <w:tcPr>
            <w:tcW w:w="36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11000</w:t>
            </w:r>
          </w:p>
        </w:tc>
        <w:tc>
          <w:tcPr>
            <w:tcW w:w="18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33</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Расчет нормы амортизации:</w:t>
      </w:r>
    </w:p>
    <w:p>
      <w:pPr>
        <w:numPr>
          <w:ilvl w:val="0"/>
          <w:numId w:val="165"/>
        </w:numPr>
        <w:spacing w:before="0" w:after="160" w:line="259"/>
        <w:ind w:right="0" w:left="28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ПК: (1/3)*100%=33</w:t>
      </w:r>
    </w:p>
    <w:p>
      <w:pPr>
        <w:numPr>
          <w:ilvl w:val="0"/>
          <w:numId w:val="165"/>
        </w:numPr>
        <w:spacing w:before="0" w:after="160" w:line="259"/>
        <w:ind w:right="0" w:left="288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Монитор: (1/3)*100%=33</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Расчет суммы амортизации на период разработки 5 месяцев:</w:t>
      </w:r>
    </w:p>
    <w:p>
      <w:pPr>
        <w:numPr>
          <w:ilvl w:val="0"/>
          <w:numId w:val="167"/>
        </w:numPr>
        <w:spacing w:before="0" w:after="160" w:line="259"/>
        <w:ind w:right="0" w:left="50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Компьютер = ((60000*33)/100%)*5/12= 8250 (руб.)</w:t>
      </w:r>
    </w:p>
    <w:p>
      <w:pPr>
        <w:numPr>
          <w:ilvl w:val="0"/>
          <w:numId w:val="167"/>
        </w:numPr>
        <w:spacing w:before="0" w:after="160" w:line="259"/>
        <w:ind w:right="0" w:left="50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Монитор = ((11000*33)/100%)**5/12= 1512,5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 8250+1512,5 = 9 762,5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сумма амортизационный отчислений за 5 месяцев: 9 762,5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3.1.3. </w:t>
      </w:r>
      <w:r>
        <w:rPr>
          <w:rFonts w:ascii="Times New Roman" w:hAnsi="Times New Roman" w:cs="Times New Roman" w:eastAsia="Times New Roman"/>
          <w:color w:val="auto"/>
          <w:spacing w:val="0"/>
          <w:position w:val="0"/>
          <w:sz w:val="28"/>
          <w:shd w:fill="auto" w:val="clear"/>
        </w:rPr>
        <w:t xml:space="preserve">Затраты на оборудование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Перечень оборудования представлен в таблице 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Затраты на оборудование не включаются в расчет капитальных вложений, так как оно было приобретено до начала разработки.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3.1.4. </w:t>
      </w:r>
      <w:r>
        <w:rPr>
          <w:rFonts w:ascii="Times New Roman" w:hAnsi="Times New Roman" w:cs="Times New Roman" w:eastAsia="Times New Roman"/>
          <w:color w:val="auto"/>
          <w:spacing w:val="0"/>
          <w:position w:val="0"/>
          <w:sz w:val="28"/>
          <w:shd w:fill="auto" w:val="clear"/>
        </w:rPr>
        <w:t xml:space="preserve">Затраты на электроэнергию</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Затраты на электроэнергию при работе оборудования для технологических целей рассчитывают по формуле 6.</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Эоб = Роб * Цэ * tоб, (6), где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Эоб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электроэнергию, потребляемую оборудованием, руб.,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мощность, потребляемая всем оборудованием, кВт,</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Цэ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тарифная ставка за 1кВт/час, Цэ = 5,62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w:t>
      </w:r>
      <w:r>
        <w:rPr>
          <w:rFonts w:ascii="Times New Roman" w:hAnsi="Times New Roman" w:cs="Times New Roman" w:eastAsia="Times New Roman"/>
          <w:color w:val="auto"/>
          <w:spacing w:val="0"/>
          <w:position w:val="0"/>
          <w:sz w:val="28"/>
          <w:shd w:fill="auto" w:val="clear"/>
        </w:rPr>
        <w:t xml:space="preserve">об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время работы оборудования, час.</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Мощность, потребляемая оборудованием для разработки системы на период разработки представлена в таблице 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2 - Мощность, потребляемая оборудованием для разработки системы на период разработки.</w:t>
      </w:r>
    </w:p>
    <w:tbl>
      <w:tblPr/>
      <w:tblGrid>
        <w:gridCol w:w="2091"/>
        <w:gridCol w:w="2769"/>
        <w:gridCol w:w="2633"/>
        <w:gridCol w:w="2077"/>
      </w:tblGrid>
      <w:tr>
        <w:trPr>
          <w:trHeight w:val="1" w:hRule="atLeast"/>
          <w:jc w:val="left"/>
        </w:trPr>
        <w:tc>
          <w:tcPr>
            <w:tcW w:w="2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Название прибора</w:t>
            </w:r>
          </w:p>
        </w:tc>
        <w:tc>
          <w:tcPr>
            <w:tcW w:w="2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Электропотребление, Вт</w:t>
            </w:r>
          </w:p>
        </w:tc>
        <w:tc>
          <w:tcPr>
            <w:tcW w:w="2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Энергопотребление, кВт</w:t>
            </w:r>
          </w:p>
        </w:tc>
        <w:tc>
          <w:tcPr>
            <w:tcW w:w="20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Время работы, ч/сутки</w:t>
            </w:r>
          </w:p>
        </w:tc>
      </w:tr>
      <w:tr>
        <w:trPr>
          <w:trHeight w:val="1" w:hRule="atLeast"/>
          <w:jc w:val="left"/>
        </w:trPr>
        <w:tc>
          <w:tcPr>
            <w:tcW w:w="2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ПК PC-X4657900</w:t>
            </w:r>
          </w:p>
        </w:tc>
        <w:tc>
          <w:tcPr>
            <w:tcW w:w="2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450</w:t>
            </w:r>
          </w:p>
        </w:tc>
        <w:tc>
          <w:tcPr>
            <w:tcW w:w="2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0,45</w:t>
            </w:r>
          </w:p>
        </w:tc>
        <w:tc>
          <w:tcPr>
            <w:tcW w:w="20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w:t>
            </w:r>
          </w:p>
        </w:tc>
      </w:tr>
      <w:tr>
        <w:trPr>
          <w:trHeight w:val="1" w:hRule="atLeast"/>
          <w:jc w:val="left"/>
        </w:trPr>
        <w:tc>
          <w:tcPr>
            <w:tcW w:w="2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Монитор АОС</w:t>
            </w:r>
          </w:p>
        </w:tc>
        <w:tc>
          <w:tcPr>
            <w:tcW w:w="2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20</w:t>
            </w:r>
          </w:p>
        </w:tc>
        <w:tc>
          <w:tcPr>
            <w:tcW w:w="2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0,2</w:t>
            </w:r>
          </w:p>
        </w:tc>
        <w:tc>
          <w:tcPr>
            <w:tcW w:w="20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Расчет затрат на электроэнергию на период разработки 4 месяца:</w:t>
      </w:r>
    </w:p>
    <w:p>
      <w:pPr>
        <w:numPr>
          <w:ilvl w:val="0"/>
          <w:numId w:val="178"/>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ПК: 0,45*8*5,62*152= 3075,26 (руб.)</w:t>
      </w:r>
    </w:p>
    <w:p>
      <w:pPr>
        <w:numPr>
          <w:ilvl w:val="0"/>
          <w:numId w:val="178"/>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Монитор: 0,2*8*5,62*152= 1 366,78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Эоб=3075,26+1366,78= 4 442,04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затраты на электроэнергию на разработку: Эоб= 4 442,04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капитальные затраты на обновление системы: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w:t>
      </w:r>
      <w:r>
        <w:rPr>
          <w:rFonts w:ascii="Times New Roman" w:hAnsi="Times New Roman" w:cs="Times New Roman" w:eastAsia="Times New Roman"/>
          <w:color w:val="auto"/>
          <w:spacing w:val="0"/>
          <w:position w:val="0"/>
          <w:sz w:val="28"/>
          <w:shd w:fill="auto" w:val="clear"/>
        </w:rPr>
        <w:t xml:space="preserve">314998, 99 +94499,7 +9 762,5 +4 442,04= 423 703,23 (</w:t>
      </w:r>
      <w:r>
        <w:rPr>
          <w:rFonts w:ascii="Times New Roman" w:hAnsi="Times New Roman" w:cs="Times New Roman" w:eastAsia="Times New Roman"/>
          <w:color w:val="auto"/>
          <w:spacing w:val="0"/>
          <w:position w:val="0"/>
          <w:sz w:val="28"/>
          <w:shd w:fill="auto" w:val="clear"/>
        </w:rPr>
        <w:t xml:space="preserve">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3.2 </w:t>
      </w:r>
      <w:r>
        <w:rPr>
          <w:rFonts w:ascii="Times New Roman" w:hAnsi="Times New Roman" w:cs="Times New Roman" w:eastAsia="Times New Roman"/>
          <w:color w:val="auto"/>
          <w:spacing w:val="0"/>
          <w:position w:val="0"/>
          <w:sz w:val="28"/>
          <w:shd w:fill="auto" w:val="clear"/>
        </w:rPr>
        <w:t xml:space="preserve">Эксплуатационные затраты (текущие затраты)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Эксплуатационные затраты (текущие затраты)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абсолютный показатель издержек, понесенных предприятием на обеспечение работоспособности производственных фондов.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Эксплуатационные затраты считаются по формуле 7.</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С=Сс+Са+Сзпл+Ссвз+Сэл+Сн +С</w:t>
      </w:r>
      <w:r>
        <w:rPr>
          <w:rFonts w:ascii="Times New Roman" w:hAnsi="Times New Roman" w:cs="Times New Roman" w:eastAsia="Times New Roman"/>
          <w:color w:val="auto"/>
          <w:spacing w:val="0"/>
          <w:position w:val="0"/>
          <w:sz w:val="28"/>
          <w:shd w:fill="auto" w:val="clear"/>
          <w:vertAlign w:val="subscript"/>
        </w:rPr>
        <w:t xml:space="preserve">НМА</w:t>
      </w:r>
      <w:r>
        <w:rPr>
          <w:rFonts w:ascii="Times New Roman" w:hAnsi="Times New Roman" w:cs="Times New Roman" w:eastAsia="Times New Roman"/>
          <w:color w:val="auto"/>
          <w:spacing w:val="0"/>
          <w:position w:val="0"/>
          <w:sz w:val="28"/>
          <w:shd w:fill="auto" w:val="clear"/>
        </w:rPr>
        <w:t xml:space="preserve">+Сп, (7) где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сырье, материалы, комплектующие,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амортизацию за год,</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Сзпл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заработную плату сотрудников за год,</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Ссвз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страховые взносы во внебюджетные фонды,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Сэл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электроэнергию за год,</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Сн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накладные затраты (среднеотраслевые расходы составляют от 80 до 120 % от годового фонда оплаты труда сотрудников),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w:t>
      </w:r>
      <w:r>
        <w:rPr>
          <w:rFonts w:ascii="Times New Roman" w:hAnsi="Times New Roman" w:cs="Times New Roman" w:eastAsia="Times New Roman"/>
          <w:color w:val="auto"/>
          <w:spacing w:val="0"/>
          <w:position w:val="0"/>
          <w:sz w:val="28"/>
          <w:shd w:fill="auto" w:val="clear"/>
          <w:vertAlign w:val="subscript"/>
        </w:rPr>
        <w:t xml:space="preserve">НМА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нематериальные активы,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простои оборудования.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3.2.1. </w:t>
      </w:r>
      <w:r>
        <w:rPr>
          <w:rFonts w:ascii="Times New Roman" w:hAnsi="Times New Roman" w:cs="Times New Roman" w:eastAsia="Times New Roman"/>
          <w:color w:val="auto"/>
          <w:spacing w:val="0"/>
          <w:position w:val="0"/>
          <w:sz w:val="28"/>
          <w:shd w:fill="auto" w:val="clear"/>
        </w:rPr>
        <w:t xml:space="preserve">Затраты на сырье, материалы и комплектующие.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Затраты на материалы определяются общей суммой затрат на все материалы, запасные части и т.д. (данные договора купли-продажи, сметы и т.д.).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Однако, модуль онлайн-бронирования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новшество для сайта детского оздоровительного лагеря АО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ЧЭМК</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поэтому капитальныке затраты отсутствовали.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затраты на материалы: 0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внедрения: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внедрения модуля какие-либо материалы не требуются.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затраты на материалы: 0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3.2.2. </w:t>
      </w:r>
      <w:r>
        <w:rPr>
          <w:rFonts w:ascii="Times New Roman" w:hAnsi="Times New Roman" w:cs="Times New Roman" w:eastAsia="Times New Roman"/>
          <w:color w:val="auto"/>
          <w:spacing w:val="0"/>
          <w:position w:val="0"/>
          <w:sz w:val="28"/>
          <w:shd w:fill="auto" w:val="clear"/>
        </w:rPr>
        <w:t xml:space="preserve">Страховые взносы во внебюджетные формы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Затраты на оплату труда сотрудников после внедрения представлены в таблице 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5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Затраты на оплату труда сотрудников за год, после внедрения.</w:t>
      </w:r>
    </w:p>
    <w:tbl>
      <w:tblPr/>
      <w:tblGrid>
        <w:gridCol w:w="2304"/>
        <w:gridCol w:w="1655"/>
        <w:gridCol w:w="1856"/>
        <w:gridCol w:w="1858"/>
        <w:gridCol w:w="1859"/>
      </w:tblGrid>
      <w:tr>
        <w:trPr>
          <w:trHeight w:val="1" w:hRule="atLeast"/>
          <w:jc w:val="left"/>
        </w:trPr>
        <w:tc>
          <w:tcPr>
            <w:tcW w:w="23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Должность</w:t>
            </w:r>
          </w:p>
        </w:tc>
        <w:tc>
          <w:tcPr>
            <w:tcW w:w="16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Численность</w:t>
            </w:r>
          </w:p>
        </w:tc>
        <w:tc>
          <w:tcPr>
            <w:tcW w:w="1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Оклад, руб./час</w:t>
            </w:r>
          </w:p>
        </w:tc>
        <w:tc>
          <w:tcPr>
            <w:tcW w:w="18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Премия, %</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Затраты на оплату труда за год, руб.</w:t>
            </w:r>
          </w:p>
        </w:tc>
      </w:tr>
      <w:tr>
        <w:trPr>
          <w:trHeight w:val="1" w:hRule="atLeast"/>
          <w:jc w:val="left"/>
        </w:trPr>
        <w:tc>
          <w:tcPr>
            <w:tcW w:w="23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Администратор сайта</w:t>
            </w:r>
          </w:p>
        </w:tc>
        <w:tc>
          <w:tcPr>
            <w:tcW w:w="16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w:t>
            </w:r>
          </w:p>
        </w:tc>
        <w:tc>
          <w:tcPr>
            <w:tcW w:w="1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243,9 </w:t>
            </w:r>
          </w:p>
        </w:tc>
        <w:tc>
          <w:tcPr>
            <w:tcW w:w="18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40</w:t>
            </w:r>
          </w:p>
        </w:tc>
        <w:tc>
          <w:tcPr>
            <w:tcW w:w="18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672676</w:t>
            </w:r>
          </w:p>
        </w:tc>
      </w:tr>
      <w:tr>
        <w:trPr>
          <w:trHeight w:val="1" w:hRule="atLeast"/>
          <w:jc w:val="left"/>
        </w:trPr>
        <w:tc>
          <w:tcPr>
            <w:tcW w:w="9532"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ИТОГО годовой ФОТ: 672676</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Расчет годового ФОТ:</w:t>
      </w:r>
    </w:p>
    <w:p>
      <w:pPr>
        <w:numPr>
          <w:ilvl w:val="0"/>
          <w:numId w:val="189"/>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Администратор сайта: ((243,9*1970)*1,4)*1=672 676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ФОТ: 672676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Расчет страховых взносов после внедрения: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Ссвз = 672676 *30% = 201 802,8 (руб.)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страховые взносы во внебюджетные формы сотрудников за год.</w:t>
      </w:r>
    </w:p>
    <w:p>
      <w:pPr>
        <w:numPr>
          <w:ilvl w:val="0"/>
          <w:numId w:val="191"/>
        </w:numPr>
        <w:spacing w:before="0" w:after="160" w:line="259"/>
        <w:ind w:right="0" w:left="1080" w:hanging="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Затраты на электроэнергию за год.</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Мощность, потребляемая оборудованием после внедрения представлена в таблице 7.</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7 - Мощность, потребляемая оборудованием после внедрения.</w:t>
      </w:r>
    </w:p>
    <w:tbl>
      <w:tblPr>
        <w:tblInd w:w="30" w:type="dxa"/>
      </w:tblPr>
      <w:tblGrid>
        <w:gridCol w:w="1973"/>
        <w:gridCol w:w="2769"/>
        <w:gridCol w:w="2633"/>
        <w:gridCol w:w="1910"/>
      </w:tblGrid>
      <w:tr>
        <w:trPr>
          <w:trHeight w:val="1140" w:hRule="auto"/>
          <w:jc w:val="left"/>
        </w:trPr>
        <w:tc>
          <w:tcPr>
            <w:tcW w:w="19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Название прибора</w:t>
            </w:r>
          </w:p>
        </w:tc>
        <w:tc>
          <w:tcPr>
            <w:tcW w:w="2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Электропотребление, Вт</w:t>
            </w:r>
          </w:p>
        </w:tc>
        <w:tc>
          <w:tcPr>
            <w:tcW w:w="2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Энергопотребление, кВт</w:t>
            </w:r>
          </w:p>
        </w:tc>
        <w:tc>
          <w:tcPr>
            <w:tcW w:w="19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Время работы, ч/сутки</w:t>
            </w:r>
          </w:p>
        </w:tc>
      </w:tr>
      <w:tr>
        <w:trPr>
          <w:trHeight w:val="795" w:hRule="auto"/>
          <w:jc w:val="left"/>
        </w:trPr>
        <w:tc>
          <w:tcPr>
            <w:tcW w:w="19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ПК PC-X4657900</w:t>
            </w:r>
          </w:p>
        </w:tc>
        <w:tc>
          <w:tcPr>
            <w:tcW w:w="2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450</w:t>
            </w:r>
          </w:p>
        </w:tc>
        <w:tc>
          <w:tcPr>
            <w:tcW w:w="2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0,45</w:t>
            </w:r>
          </w:p>
        </w:tc>
        <w:tc>
          <w:tcPr>
            <w:tcW w:w="19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w:t>
            </w:r>
          </w:p>
        </w:tc>
      </w:tr>
      <w:tr>
        <w:trPr>
          <w:trHeight w:val="480" w:hRule="auto"/>
          <w:jc w:val="left"/>
        </w:trPr>
        <w:tc>
          <w:tcPr>
            <w:tcW w:w="19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Монитор АОС</w:t>
            </w:r>
          </w:p>
        </w:tc>
        <w:tc>
          <w:tcPr>
            <w:tcW w:w="27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w:t>
            </w:r>
          </w:p>
        </w:tc>
        <w:tc>
          <w:tcPr>
            <w:tcW w:w="26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0,2</w:t>
            </w:r>
          </w:p>
        </w:tc>
        <w:tc>
          <w:tcPr>
            <w:tcW w:w="19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Затраты на энергопотребление системы после внедрения:</w:t>
      </w:r>
    </w:p>
    <w:p>
      <w:pPr>
        <w:numPr>
          <w:ilvl w:val="0"/>
          <w:numId w:val="203"/>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ПК= 0,45*8*5,62*365=7 384,68 (руб.)</w:t>
      </w:r>
    </w:p>
    <w:p>
      <w:pPr>
        <w:numPr>
          <w:ilvl w:val="0"/>
          <w:numId w:val="203"/>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Монитор= 0,2*8*5,62*365= 3 282,08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затраты на электроэнергию после внедрения: 10 666,76 (руб.)</w:t>
      </w:r>
    </w:p>
    <w:p>
      <w:pPr>
        <w:numPr>
          <w:ilvl w:val="0"/>
          <w:numId w:val="205"/>
        </w:numPr>
        <w:spacing w:before="0" w:after="160" w:line="259"/>
        <w:ind w:right="0" w:left="1080" w:hanging="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Накладные затраты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Накладные расходы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расходы, которые непосредственно не связаны с производственной деятельностью компании, однако обеспечивают непрерывность и качество производственного процесса. Накладные расходы являются дополнительными расходами компании. Они не связаны с производством напрямую, т. е. не включаются в себестоимость выпускаемой продукции или оказываемых услуг. Их невозможно отнести на конкретный вид продукции, работы или услуг. Это сопутствующие траты, которые обеспечивают производственный процесс.</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Какие затраты стандартно включаются в накладные расходы:</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амортизация основных средств, которые не используются в производственном процессе;</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приобретение оборудования, инструментов для производства;</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содержание и аренду площадей, неиспользуемых в производстве, офисных и торговых помещений;</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содержание административно- управленческого и общепроизводственного персонала;</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рекламу;</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приобретение расходных материалов для офиса;</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телекоммуникационные расходы;</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транспортные расходы;</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выплаты в ФСС, ПФР;</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оплату сопутствующих услуг (консультационных, информационных, юридических);</w:t>
      </w:r>
    </w:p>
    <w:p>
      <w:pPr>
        <w:numPr>
          <w:ilvl w:val="0"/>
          <w:numId w:val="207"/>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командировочные и представительские расходы.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Накладные расходы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издержки компании, которые не относятся напрямую к технологическому процессу изготовления товара, но обеспечивают его, хотя не входят в стоимость сырья и работы.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Пропорция между прямыми затратами и накладными расходами может устанавливаться от разных показателей прямых затрат.</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Накладные расходы считаются по формуле 8.</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Сн = Сзпл * %, (8)</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где Сзпл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расходы на заработную плату сотрудникам за год, %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процент накладных расходов.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Процент накладных расходов равен 100.</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Сн=</w:t>
      </w:r>
      <w:r>
        <w:rPr>
          <w:rFonts w:ascii="Times New Roman" w:hAnsi="Times New Roman" w:cs="Times New Roman" w:eastAsia="Times New Roman"/>
          <w:color w:val="auto"/>
          <w:spacing w:val="0"/>
          <w:position w:val="0"/>
          <w:sz w:val="28"/>
          <w:shd w:fill="auto" w:val="clear"/>
        </w:rPr>
        <w:t xml:space="preserve">672676</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*100%= 6 726,76(руб.)</w:t>
      </w:r>
    </w:p>
    <w:p>
      <w:pPr>
        <w:numPr>
          <w:ilvl w:val="0"/>
          <w:numId w:val="209"/>
        </w:numPr>
        <w:spacing w:before="0" w:after="160" w:line="259"/>
        <w:ind w:right="0" w:left="1080" w:hanging="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Затраты на нематериальные активы.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Нематериальные активы (НМА)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объекты интеллектуальной собственности, которые используются более 1 года и приносят доход. При этом они не имеют материальной формы и отделимы от других активов.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Чтобы признать нематериальный актив, должны соблюдаться все условия из положения по бухгалтерскому учету ПБУ 14/2007:</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Экономическая выгода. Бизнес использует нематериальный актив для производства продукции, торговли товарами, выполнения работ, оказания услуг или управления.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Длительное пользование. Нематериальный актив должен служить минимум 12 месяцев.</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Возможность отделить актив от других активов. Его можно использовать сам по себе, например продать.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Нет материальной формы. Нематериальный актив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результат интеллектуальной деятельности.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Что относится к НМА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компьютерные программы;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изобретения и промышленные модели;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научные, литературные произведения, произведения искусства;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товарные знаки;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ноу-хау (производственные секреты);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деловая репутация.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Что не относится к НМА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финансовые вложения;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организационные расходы, связанные с созданием юридического лица;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квалификация сотрудников, их профессиональные и деловые качества;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научно-исследовательские и опытно-конструкторские работы (НИОКР) не приведшие к положительным результатам, не законченные, неоформленные НИОКР;</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носители информации, на которые записаны объекты интеллектуальной собственности.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НМА учитываются по первоначальной стоимости, амортизируются и отражаются на текущую дату с учётом морального износа.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До внедрения</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До внедрения </w:t>
      </w:r>
      <w:r>
        <w:rPr>
          <w:rFonts w:ascii="Times New Roman" w:hAnsi="Times New Roman" w:cs="Times New Roman" w:eastAsia="Times New Roman"/>
          <w:color w:val="auto"/>
          <w:spacing w:val="0"/>
          <w:position w:val="0"/>
          <w:sz w:val="28"/>
          <w:shd w:fill="auto" w:val="clear"/>
        </w:rPr>
        <w:t xml:space="preserve">покупка дополнительных нематериальных активов не требовалась.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w:t>
      </w:r>
      <w:r>
        <w:rPr>
          <w:rFonts w:ascii="Times New Roman" w:hAnsi="Times New Roman" w:cs="Times New Roman" w:eastAsia="Times New Roman"/>
          <w:color w:val="auto"/>
          <w:spacing w:val="0"/>
          <w:position w:val="0"/>
          <w:sz w:val="28"/>
          <w:shd w:fill="auto" w:val="clear"/>
          <w:vertAlign w:val="subscript"/>
        </w:rPr>
        <w:t xml:space="preserve">НМА</w:t>
      </w:r>
      <w:r>
        <w:rPr>
          <w:rFonts w:ascii="Times New Roman" w:hAnsi="Times New Roman" w:cs="Times New Roman" w:eastAsia="Times New Roman"/>
          <w:color w:val="auto"/>
          <w:spacing w:val="0"/>
          <w:position w:val="0"/>
          <w:sz w:val="28"/>
          <w:shd w:fill="auto" w:val="clear"/>
        </w:rPr>
        <w:t xml:space="preserve">=0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10 - Расчет стоимости и амортизационных отчислений нематериальных активов после внедрения.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tbl>
      <w:tblPr/>
      <w:tblGrid>
        <w:gridCol w:w="1962"/>
        <w:gridCol w:w="2154"/>
        <w:gridCol w:w="1662"/>
        <w:gridCol w:w="1821"/>
        <w:gridCol w:w="2041"/>
      </w:tblGrid>
      <w:tr>
        <w:trPr>
          <w:trHeight w:val="1" w:hRule="atLeast"/>
          <w:jc w:val="left"/>
        </w:trPr>
        <w:tc>
          <w:tcPr>
            <w:tcW w:w="19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Наименование</w:t>
            </w:r>
          </w:p>
        </w:tc>
        <w:tc>
          <w:tcPr>
            <w:tcW w:w="21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Первоначальная стоимость, руб.</w:t>
            </w:r>
          </w:p>
        </w:tc>
        <w:tc>
          <w:tcPr>
            <w:tcW w:w="1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Балансовая стоимость, руб.</w:t>
            </w:r>
          </w:p>
        </w:tc>
        <w:tc>
          <w:tcPr>
            <w:tcW w:w="18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Норма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амортизации,</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w:t>
            </w:r>
          </w:p>
        </w:tc>
        <w:tc>
          <w:tcPr>
            <w:tcW w:w="20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Годовая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сумма амортизации,</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руб.</w:t>
            </w:r>
          </w:p>
        </w:tc>
      </w:tr>
      <w:tr>
        <w:trPr>
          <w:trHeight w:val="1" w:hRule="atLeast"/>
          <w:jc w:val="left"/>
        </w:trPr>
        <w:tc>
          <w:tcPr>
            <w:tcW w:w="19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Windows 10 Pro</w:t>
            </w:r>
          </w:p>
        </w:tc>
        <w:tc>
          <w:tcPr>
            <w:tcW w:w="21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8 900</w:t>
            </w:r>
          </w:p>
        </w:tc>
        <w:tc>
          <w:tcPr>
            <w:tcW w:w="1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5 340</w:t>
            </w:r>
          </w:p>
        </w:tc>
        <w:tc>
          <w:tcPr>
            <w:tcW w:w="18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10</w:t>
            </w:r>
          </w:p>
        </w:tc>
        <w:tc>
          <w:tcPr>
            <w:tcW w:w="20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890</w:t>
            </w:r>
          </w:p>
        </w:tc>
      </w:tr>
      <w:tr>
        <w:trPr>
          <w:trHeight w:val="1" w:hRule="atLeast"/>
          <w:jc w:val="left"/>
        </w:trPr>
        <w:tc>
          <w:tcPr>
            <w:tcW w:w="19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Visual Studio Code</w:t>
            </w:r>
          </w:p>
        </w:tc>
        <w:tc>
          <w:tcPr>
            <w:tcW w:w="21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0</w:t>
            </w:r>
          </w:p>
        </w:tc>
        <w:tc>
          <w:tcPr>
            <w:tcW w:w="1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0</w:t>
            </w:r>
          </w:p>
        </w:tc>
        <w:tc>
          <w:tcPr>
            <w:tcW w:w="18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0</w:t>
            </w:r>
          </w:p>
        </w:tc>
        <w:tc>
          <w:tcPr>
            <w:tcW w:w="20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0</w:t>
            </w:r>
          </w:p>
        </w:tc>
      </w:tr>
      <w:tr>
        <w:trPr>
          <w:trHeight w:val="1" w:hRule="atLeast"/>
          <w:jc w:val="left"/>
        </w:trPr>
        <w:tc>
          <w:tcPr>
            <w:tcW w:w="19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ИТОГО:</w:t>
            </w:r>
          </w:p>
        </w:tc>
        <w:tc>
          <w:tcPr>
            <w:tcW w:w="21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0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890</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w:t>
      </w:r>
      <w:r>
        <w:rPr>
          <w:rFonts w:ascii="Times New Roman" w:hAnsi="Times New Roman" w:cs="Times New Roman" w:eastAsia="Times New Roman"/>
          <w:color w:val="auto"/>
          <w:spacing w:val="0"/>
          <w:position w:val="0"/>
          <w:sz w:val="28"/>
          <w:shd w:fill="auto" w:val="clear"/>
          <w:vertAlign w:val="subscript"/>
        </w:rPr>
        <w:t xml:space="preserve">НМА</w:t>
      </w:r>
      <w:r>
        <w:rPr>
          <w:rFonts w:ascii="Times New Roman" w:hAnsi="Times New Roman" w:cs="Times New Roman" w:eastAsia="Times New Roman"/>
          <w:color w:val="auto"/>
          <w:spacing w:val="0"/>
          <w:position w:val="0"/>
          <w:sz w:val="28"/>
          <w:shd w:fill="auto" w:val="clear"/>
        </w:rPr>
        <w:t xml:space="preserve">=8900руб.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Расчет стоимости и амортизационных отчислений нематериальных активов после внедрения.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внедрения покупка дополнительных нематериальных активов не требуется.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эксплуатационные затраты до внедрения = 0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эксплуатационные затраты после внедрения:</w:t>
      </w:r>
    </w:p>
    <w:p>
      <w:pPr>
        <w:numPr>
          <w:ilvl w:val="0"/>
          <w:numId w:val="224"/>
        </w:numPr>
        <w:spacing w:before="0" w:after="160" w:line="259"/>
        <w:ind w:right="0" w:left="1080" w:hanging="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0+</w:t>
      </w:r>
      <w:r>
        <w:rPr>
          <w:rFonts w:ascii="Times New Roman" w:hAnsi="Times New Roman" w:cs="Times New Roman" w:eastAsia="Times New Roman"/>
          <w:color w:val="auto"/>
          <w:spacing w:val="0"/>
          <w:position w:val="0"/>
          <w:sz w:val="28"/>
          <w:shd w:fill="auto" w:val="clear"/>
        </w:rPr>
        <w:t xml:space="preserve">672 676+10 666,76+8900= 692 242,76 (руб.)</w:t>
      </w:r>
    </w:p>
    <w:p>
      <w:pPr>
        <w:numPr>
          <w:ilvl w:val="0"/>
          <w:numId w:val="224"/>
        </w:numPr>
        <w:spacing w:before="0" w:after="160" w:line="259"/>
        <w:ind w:right="0" w:left="1080" w:hanging="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Расчет экономического эффекта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Экономический эффект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конечный экономический результат, полученный от проведения какого-либо мероприятия, вызывающего улучшение каких-либо показателей работы организации. Результат является абсолютным показателем и измеряется в денежных или натуральных единицах.</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целом, получение эффекта предполагает первоначальное осуществление каких-либо затрат, а затем получение дополнительного дохода от внедрения мероприятия.</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Сам экономический эффект представляет собой этот дополнительный доход, получаемый черед дополнительные прибыли, снижение материальных, трудовых затрат, рост объемов производства или качества продукции, выражаемых в цене.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Экономическая эффективность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относительный показатель доходов и расходов целого производства или определенного проекта. Это достижение желаемых результатов с минимальными усилиями, затратами или отходами.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Прирост прибыли за счет увеличения продаж путевок рассчитывается по формуле 10.</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Продажи путевок до внедрения составили</w:t>
      </w:r>
      <w:r>
        <w:rPr>
          <w:rFonts w:ascii="Times New Roman" w:hAnsi="Times New Roman" w:cs="Times New Roman" w:eastAsia="Times New Roman"/>
          <w:color w:val="auto"/>
          <w:spacing w:val="0"/>
          <w:position w:val="0"/>
          <w:sz w:val="28"/>
          <w:shd w:fill="auto" w:val="clear"/>
        </w:rPr>
        <w:t xml:space="preserve">: 1500 </w:t>
      </w:r>
      <w:r>
        <w:rPr>
          <w:rFonts w:ascii="Times New Roman" w:hAnsi="Times New Roman" w:cs="Times New Roman" w:eastAsia="Times New Roman"/>
          <w:color w:val="auto"/>
          <w:spacing w:val="0"/>
          <w:position w:val="0"/>
          <w:sz w:val="28"/>
          <w:shd w:fill="auto" w:val="clear"/>
        </w:rPr>
        <w:t xml:space="preserve">(шт.)</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Средняя цена путёвок</w:t>
      </w:r>
      <w:r>
        <w:rPr>
          <w:rFonts w:ascii="Times New Roman" w:hAnsi="Times New Roman" w:cs="Times New Roman" w:eastAsia="Times New Roman"/>
          <w:color w:val="auto"/>
          <w:spacing w:val="0"/>
          <w:position w:val="0"/>
          <w:sz w:val="28"/>
          <w:shd w:fill="auto" w:val="clear"/>
        </w:rPr>
        <w:t xml:space="preserve">: 35 000 </w:t>
      </w:r>
      <w:r>
        <w:rPr>
          <w:rFonts w:ascii="Times New Roman" w:hAnsi="Times New Roman" w:cs="Times New Roman" w:eastAsia="Times New Roman"/>
          <w:color w:val="auto"/>
          <w:spacing w:val="0"/>
          <w:position w:val="0"/>
          <w:sz w:val="28"/>
          <w:shd w:fill="auto" w:val="clear"/>
        </w:rPr>
        <w:t xml:space="preserve">(руб.)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Р*Ц, где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выручка,</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 кол-во проданных путевок,</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 цена путевки.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1500*35000= 52 500 000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выручка от продажи путевок до внедрения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52 500 000 (руб.)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внедрения</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Продажи путевок после внедрения составили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157</w:t>
      </w:r>
      <w:r>
        <w:rPr>
          <w:rFonts w:ascii="Times New Roman" w:hAnsi="Times New Roman" w:cs="Times New Roman" w:eastAsia="Times New Roman"/>
          <w:color w:val="auto"/>
          <w:spacing w:val="0"/>
          <w:position w:val="0"/>
          <w:sz w:val="28"/>
          <w:shd w:fill="auto" w:val="clear"/>
        </w:rPr>
        <w:t xml:space="preserve">0 </w:t>
      </w:r>
      <w:r>
        <w:rPr>
          <w:rFonts w:ascii="Times New Roman" w:hAnsi="Times New Roman" w:cs="Times New Roman" w:eastAsia="Times New Roman"/>
          <w:color w:val="auto"/>
          <w:spacing w:val="0"/>
          <w:position w:val="0"/>
          <w:sz w:val="28"/>
          <w:shd w:fill="auto" w:val="clear"/>
        </w:rPr>
        <w:t xml:space="preserve">(шт.)</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Средняя цена путёвок</w:t>
      </w:r>
      <w:r>
        <w:rPr>
          <w:rFonts w:ascii="Times New Roman" w:hAnsi="Times New Roman" w:cs="Times New Roman" w:eastAsia="Times New Roman"/>
          <w:color w:val="auto"/>
          <w:spacing w:val="0"/>
          <w:position w:val="0"/>
          <w:sz w:val="28"/>
          <w:shd w:fill="auto" w:val="clear"/>
        </w:rPr>
        <w:t xml:space="preserve">: 35 000 </w:t>
      </w:r>
      <w:r>
        <w:rPr>
          <w:rFonts w:ascii="Times New Roman" w:hAnsi="Times New Roman" w:cs="Times New Roman" w:eastAsia="Times New Roman"/>
          <w:color w:val="auto"/>
          <w:spacing w:val="0"/>
          <w:position w:val="0"/>
          <w:sz w:val="28"/>
          <w:shd w:fill="auto" w:val="clear"/>
        </w:rPr>
        <w:t xml:space="preserve">(руб.)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1570*35000= 54 950 000(руб.)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выручка от продажи путевок до внедрения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54 950 000(руб.)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Прирост выручки расчитывается по следующей формуле</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В= Впосле- Вдо= </w:t>
      </w:r>
      <w:r>
        <w:rPr>
          <w:rFonts w:ascii="Times New Roman" w:hAnsi="Times New Roman" w:cs="Times New Roman" w:eastAsia="Times New Roman"/>
          <w:color w:val="auto"/>
          <w:spacing w:val="0"/>
          <w:position w:val="0"/>
          <w:sz w:val="28"/>
          <w:shd w:fill="auto" w:val="clear"/>
        </w:rPr>
        <w:t xml:space="preserve">54 950 000</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52 500 000 = 2 450 000(руб.)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Итого прирост выручки после внедрения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2 450 000(руб.)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Экономический эффект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чистая дополнительная прибыль от внедрения системы. Расчитывается по формуле</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w:t>
      </w:r>
      <w:r>
        <w:rPr>
          <w:rFonts w:ascii="Times New Roman" w:hAnsi="Times New Roman" w:cs="Times New Roman" w:eastAsia="Times New Roman"/>
          <w:color w:val="auto"/>
          <w:spacing w:val="0"/>
          <w:position w:val="0"/>
          <w:sz w:val="28"/>
          <w:shd w:fill="auto" w:val="clear"/>
        </w:rPr>
        <w:t xml:space="preserve">Δ</w:t>
      </w:r>
      <w:r>
        <w:rPr>
          <w:rFonts w:ascii="Times New Roman" w:hAnsi="Times New Roman" w:cs="Times New Roman" w:eastAsia="Times New Roman"/>
          <w:color w:val="auto"/>
          <w:spacing w:val="0"/>
          <w:position w:val="0"/>
          <w:sz w:val="28"/>
          <w:shd w:fill="auto" w:val="clear"/>
        </w:rPr>
        <w:t xml:space="preserve">В</w:t>
      </w:r>
      <w:r>
        <w:rPr>
          <w:rFonts w:ascii="Cambria Math" w:hAnsi="Cambria Math" w:cs="Cambria Math" w:eastAsia="Cambria Math"/>
          <w:color w:val="auto"/>
          <w:spacing w:val="0"/>
          <w:position w:val="0"/>
          <w:sz w:val="28"/>
          <w:shd w:fill="auto" w:val="clear"/>
        </w:rPr>
        <w:t xml:space="preserve">−</w:t>
      </w:r>
      <w:r>
        <w:rPr>
          <w:rFonts w:ascii="Cambria Math" w:hAnsi="Cambria Math" w:cs="Cambria Math" w:eastAsia="Cambria Math"/>
          <w:color w:val="auto"/>
          <w:spacing w:val="0"/>
          <w:position w:val="0"/>
          <w:sz w:val="28"/>
          <w:shd w:fill="auto" w:val="clear"/>
        </w:rPr>
        <w:t xml:space="preserve">С, где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Δ</w:t>
      </w:r>
      <w:r>
        <w:rPr>
          <w:rFonts w:ascii="Times New Roman" w:hAnsi="Times New Roman" w:cs="Times New Roman" w:eastAsia="Times New Roman"/>
          <w:color w:val="auto"/>
          <w:spacing w:val="0"/>
          <w:position w:val="0"/>
          <w:sz w:val="28"/>
          <w:shd w:fill="auto" w:val="clear"/>
        </w:rPr>
        <w:t xml:space="preserve">В- прирост выручки,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годовые эксплуатационные затраты</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 2 450 000</w:t>
      </w:r>
      <w:r>
        <w:rPr>
          <w:rFonts w:ascii="Cambria Math" w:hAnsi="Cambria Math" w:cs="Cambria Math" w:eastAsia="Cambria Math"/>
          <w:color w:val="auto"/>
          <w:spacing w:val="0"/>
          <w:position w:val="0"/>
          <w:sz w:val="28"/>
          <w:shd w:fill="auto" w:val="clear"/>
        </w:rPr>
        <w:t xml:space="preserve">−692243=1 757 757</w:t>
      </w:r>
      <w:r>
        <w:rPr>
          <w:rFonts w:ascii="Cambria Math" w:hAnsi="Cambria Math" w:cs="Cambria Math" w:eastAsia="Cambria Math"/>
          <w:color w:val="auto"/>
          <w:spacing w:val="0"/>
          <w:position w:val="0"/>
          <w:sz w:val="28"/>
          <w:shd w:fill="auto" w:val="clear"/>
        </w:rPr>
        <w:t xml:space="preserve">(руб.)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Итого годовой экономический эффект о внедрения = </w:t>
      </w:r>
      <w:r>
        <w:rPr>
          <w:rFonts w:ascii="Cambria Math" w:hAnsi="Cambria Math" w:cs="Cambria Math" w:eastAsia="Cambria Math"/>
          <w:color w:val="auto"/>
          <w:spacing w:val="0"/>
          <w:position w:val="0"/>
          <w:sz w:val="28"/>
          <w:shd w:fill="auto" w:val="clear"/>
        </w:rPr>
        <w:t xml:space="preserve">1 757 757</w:t>
      </w:r>
      <w:r>
        <w:rPr>
          <w:rFonts w:ascii="Cambria Math" w:hAnsi="Cambria Math" w:cs="Cambria Math" w:eastAsia="Cambria Math"/>
          <w:color w:val="auto"/>
          <w:spacing w:val="0"/>
          <w:position w:val="0"/>
          <w:sz w:val="28"/>
          <w:shd w:fill="auto" w:val="clear"/>
        </w:rPr>
        <w:t xml:space="preserve"> (руб.)</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Коэффициент экономической эффективности определяется по следующей 12.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 = Э / К, (12) где,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экономическая эффективность,</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экономический эффект (оптимизация или прирост прибыли),</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капитальные затраты на проект.</w:t>
      </w:r>
    </w:p>
    <w:p>
      <w:pPr>
        <w:spacing w:before="0" w:after="160" w:line="259"/>
        <w:ind w:right="0" w:left="0" w:firstLine="0"/>
        <w:jc w:val="left"/>
        <w:rPr>
          <w:rFonts w:ascii="Cambria Math" w:hAnsi="Cambria Math" w:cs="Cambria Math" w:eastAsia="Cambria Math"/>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Е=</w:t>
      </w:r>
      <w:r>
        <w:rPr>
          <w:rFonts w:ascii="Times New Roman" w:hAnsi="Times New Roman" w:cs="Times New Roman" w:eastAsia="Times New Roman"/>
          <w:color w:val="auto"/>
          <w:spacing w:val="0"/>
          <w:position w:val="0"/>
          <w:sz w:val="28"/>
          <w:shd w:fill="auto" w:val="clear"/>
        </w:rPr>
        <w:t xml:space="preserve"> </w:t>
      </w:r>
      <w:r>
        <w:rPr>
          <w:rFonts w:ascii="Cambria Math" w:hAnsi="Cambria Math" w:cs="Cambria Math" w:eastAsia="Cambria Math"/>
          <w:color w:val="auto"/>
          <w:spacing w:val="0"/>
          <w:position w:val="0"/>
          <w:sz w:val="28"/>
          <w:shd w:fill="auto" w:val="clear"/>
        </w:rPr>
        <w:t xml:space="preserve">1 757 757</w:t>
      </w:r>
      <w:r>
        <w:rPr>
          <w:rFonts w:ascii="Cambria Math" w:hAnsi="Cambria Math" w:cs="Cambria Math" w:eastAsia="Cambria Math"/>
          <w:color w:val="auto"/>
          <w:spacing w:val="0"/>
          <w:position w:val="0"/>
          <w:sz w:val="28"/>
          <w:shd w:fill="auto" w:val="clear"/>
        </w:rPr>
        <w:t xml:space="preserve">/423 703,23= 4,2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Итого </w:t>
      </w:r>
      <w:r>
        <w:rPr>
          <w:rFonts w:ascii="Times New Roman" w:hAnsi="Times New Roman" w:cs="Times New Roman" w:eastAsia="Times New Roman"/>
          <w:color w:val="auto"/>
          <w:spacing w:val="0"/>
          <w:position w:val="0"/>
          <w:sz w:val="28"/>
          <w:shd w:fill="auto" w:val="clear"/>
        </w:rPr>
        <w:t xml:space="preserve">коэффициент экономической эффективности= 4,2</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Срок окупаемости представляет собой отрезок времени, после которого доход от проекта становится равен сумме вложенных денег.</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То есть коэффициент срока окупаемости при инвестировании в какое-либо дело будет показывать, сколько нужно будет времени, чтобы вернуть вложенный капитал.</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Срок окупаемости рассчитывается по формуле 13.</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Ток = К / Э, (13)</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где Ток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срок окупаемости, выраженный в годах,</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сумма вложенных средств, капитальные затраты,</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экономический эффект.</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Ток= </w:t>
      </w:r>
      <w:r>
        <w:rPr>
          <w:rFonts w:ascii="Cambria Math" w:hAnsi="Cambria Math" w:cs="Cambria Math" w:eastAsia="Cambria Math"/>
          <w:color w:val="auto"/>
          <w:spacing w:val="0"/>
          <w:position w:val="0"/>
          <w:sz w:val="28"/>
          <w:shd w:fill="auto" w:val="clear"/>
        </w:rPr>
        <w:t xml:space="preserve">423 703,23/</w:t>
      </w:r>
      <w:r>
        <w:rPr>
          <w:rFonts w:ascii="Cambria Math" w:hAnsi="Cambria Math" w:cs="Cambria Math" w:eastAsia="Cambria Math"/>
          <w:color w:val="auto"/>
          <w:spacing w:val="0"/>
          <w:position w:val="0"/>
          <w:sz w:val="28"/>
          <w:shd w:fill="auto" w:val="clear"/>
        </w:rPr>
        <w:t xml:space="preserve">1 757 757</w:t>
      </w:r>
      <w:r>
        <w:rPr>
          <w:rFonts w:ascii="Cambria Math" w:hAnsi="Cambria Math" w:cs="Cambria Math" w:eastAsia="Cambria Math"/>
          <w:color w:val="auto"/>
          <w:spacing w:val="0"/>
          <w:position w:val="0"/>
          <w:sz w:val="28"/>
          <w:shd w:fill="auto" w:val="clear"/>
        </w:rPr>
        <w:t xml:space="preserve"> =0,24 (2,9 месяца или 88 дней)</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ОРГАНИЗАЦИЯ РАБОЧЕГО МЕСТА И ОХРАНА ТРУДА</w:t>
      </w:r>
    </w:p>
    <w:p>
      <w:pPr>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Челябинский Электрометаллургический Комбинат</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необходимо использовать мониторы с антибликовым покрытием, а также соблюдать расстояние от глаз до экрана не менее 50-70 см.</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pPr>
        <w:spacing w:before="0" w:after="0" w:line="276"/>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Соблюдение этих норм в АО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Челябинский Электрометаллургический Комбинат</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keepNext w:val="true"/>
        <w:keepLines w:val="true"/>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ЗАКЛЮЧЕНИЕ</w:t>
      </w:r>
    </w:p>
    <w:p>
      <w:pPr>
        <w:spacing w:before="0" w:after="0" w:line="276"/>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В рамках дипломного проекта был разработан модуль онлайн-бронирования путевок для детского оздоровительного лагеря АО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Челябинский Электрометаллургический Комбинат</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pPr>
        <w:spacing w:before="0" w:after="0" w:line="276"/>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онлайн-бронирование и автоматическое подтверждение бронирования, что значительно сокращает временные затраты и минимизирует ошибки при ручном вводе информации.  </w:t>
      </w:r>
    </w:p>
    <w:p>
      <w:pPr>
        <w:spacing w:before="0" w:after="0" w:line="276"/>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pPr>
        <w:spacing w:before="0" w:after="0" w:line="276"/>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pPr>
        <w:spacing w:before="0" w:after="0" w:line="276"/>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ЧЭМК</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и внедрения инновационных решений в корпоративной социальной политике компании.</w:t>
      </w:r>
    </w:p>
    <w:p>
      <w:pPr>
        <w:spacing w:before="0" w:after="16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СПИСОК ИСПОЛЬЗОВАННЫХ ИСТОЧНИКОВ</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Основные</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Зверева В.П. Назаров А.В. Сопровождение и обслуживание программного обеспечения компьютерных систем.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Издательство Академия, 2020.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256 </w:t>
      </w:r>
      <w:r>
        <w:rPr>
          <w:rFonts w:ascii="Times New Roman" w:hAnsi="Times New Roman" w:cs="Times New Roman" w:eastAsia="Times New Roman"/>
          <w:color w:val="auto"/>
          <w:spacing w:val="0"/>
          <w:position w:val="0"/>
          <w:sz w:val="28"/>
          <w:shd w:fill="auto" w:val="clear"/>
        </w:rPr>
        <w:t xml:space="preserve">с.</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Илюшечкин, В. М.  Основы использования и проектирования баз данных: учебник для среднего профессионального образования / В. М. Илюшечкин.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испр. и доп.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Москва: Издательство Юрайт, 2024.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213</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 электронный // Образовательная платформа Юрайт [сайт].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109">
        <w:r>
          <w:rPr>
            <w:rFonts w:ascii="Times New Roman" w:hAnsi="Times New Roman" w:cs="Times New Roman" w:eastAsia="Times New Roman"/>
            <w:color w:val="0000FF"/>
            <w:spacing w:val="0"/>
            <w:position w:val="0"/>
            <w:sz w:val="28"/>
            <w:u w:val="single"/>
            <w:shd w:fill="auto" w:val="clear"/>
          </w:rPr>
          <w:t xml:space="preserve">https://urait.ru/bcode/538545</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дата обращения: 26.03.2024).</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Нестеров, С. А.  Базы данных: учебник и практикум для среднего профессионального образования / С. А. Нестеров.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w:t>
      </w:r>
      <w:r>
        <w:rPr>
          <w:rFonts w:ascii="Times New Roman" w:hAnsi="Times New Roman" w:cs="Times New Roman" w:eastAsia="Times New Roman"/>
          <w:color w:val="auto"/>
          <w:spacing w:val="0"/>
          <w:position w:val="0"/>
          <w:sz w:val="28"/>
          <w:shd w:fill="auto" w:val="clear"/>
        </w:rPr>
        <w:t xml:space="preserve">е изд.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Москва: Издательство Юрайт, 2024.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258</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 электронный // Образовательная платформа Юрайт [сайт].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110">
        <w:r>
          <w:rPr>
            <w:rFonts w:ascii="Times New Roman" w:hAnsi="Times New Roman" w:cs="Times New Roman" w:eastAsia="Times New Roman"/>
            <w:color w:val="0000FF"/>
            <w:spacing w:val="0"/>
            <w:position w:val="0"/>
            <w:sz w:val="28"/>
            <w:u w:val="single"/>
            <w:shd w:fill="auto" w:val="clear"/>
          </w:rPr>
          <w:t xml:space="preserve">https://urait.ru/bcode/542800</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дата обращения: 26.03.2024). </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Полуэктова, Н. Р.  Разработка веб-приложений: учебное пособие для среднего профессионального образования / Н. Р. Полуэктова.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w:t>
      </w:r>
      <w:r>
        <w:rPr>
          <w:rFonts w:ascii="Times New Roman" w:hAnsi="Times New Roman" w:cs="Times New Roman" w:eastAsia="Times New Roman"/>
          <w:color w:val="auto"/>
          <w:spacing w:val="0"/>
          <w:position w:val="0"/>
          <w:sz w:val="28"/>
          <w:shd w:fill="auto" w:val="clear"/>
        </w:rPr>
        <w:t xml:space="preserve">е изд.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Москва: Издательство Юрайт, 2024.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204</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 Текст: электронный // Образовательная платформа Юрайт [сайт].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111">
        <w:r>
          <w:rPr>
            <w:rFonts w:ascii="Times New Roman" w:hAnsi="Times New Roman" w:cs="Times New Roman" w:eastAsia="Times New Roman"/>
            <w:color w:val="0000FF"/>
            <w:spacing w:val="0"/>
            <w:position w:val="0"/>
            <w:sz w:val="28"/>
            <w:u w:val="single"/>
            <w:shd w:fill="auto" w:val="clear"/>
          </w:rPr>
          <w:t xml:space="preserve">https://urait.ru/bcode/545237</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дата обращения: 28.03.2024).</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Сысолетин, Е. Г.  Разработка интернет-приложений: учебное пособие для среднего профессионального образования / Е. Г. Сысолетин, С. Д. Ростунцев.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Москва: Издательство Юрайт, 2023.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90</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 электронный // Образовательная платформа Юрайт [сайт].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112">
        <w:r>
          <w:rPr>
            <w:rFonts w:ascii="Times New Roman" w:hAnsi="Times New Roman" w:cs="Times New Roman" w:eastAsia="Times New Roman"/>
            <w:color w:val="0000FF"/>
            <w:spacing w:val="0"/>
            <w:position w:val="0"/>
            <w:sz w:val="28"/>
            <w:u w:val="single"/>
            <w:shd w:fill="auto" w:val="clear"/>
          </w:rPr>
          <w:t xml:space="preserve">https://urait.ru/bcode/517538</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дата обращения: 28.03.2024).</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Дополнительные</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Зараменских, Е. П.  Информационные системы в бизнесе: учебник и практикум для среднего профессионального образования / Е. П. Зараменских.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w:t>
      </w:r>
      <w:r>
        <w:rPr>
          <w:rFonts w:ascii="Times New Roman" w:hAnsi="Times New Roman" w:cs="Times New Roman" w:eastAsia="Times New Roman"/>
          <w:color w:val="auto"/>
          <w:spacing w:val="0"/>
          <w:position w:val="0"/>
          <w:sz w:val="28"/>
          <w:shd w:fill="auto" w:val="clear"/>
        </w:rPr>
        <w:t xml:space="preserve">е изд., перераб. и доп.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Москва: Издательство Юрайт, 2024.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470</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Текст: электронный // Образовательная платформа Юрайт [сайт].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113">
        <w:r>
          <w:rPr>
            <w:rFonts w:ascii="Times New Roman" w:hAnsi="Times New Roman" w:cs="Times New Roman" w:eastAsia="Times New Roman"/>
            <w:color w:val="0000FF"/>
            <w:spacing w:val="0"/>
            <w:position w:val="0"/>
            <w:sz w:val="28"/>
            <w:u w:val="single"/>
            <w:shd w:fill="auto" w:val="clear"/>
          </w:rPr>
          <w:t xml:space="preserve">https://urait.ru/bcode/542802</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дата обращения: 26.03.2024). Федорова, Г.Н. Информационные системы: Учебник / Г.Н. Федорова. - М.: Academia, 2018. - 384 c.</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Онлайн учебник по языку PHP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 </w:t>
      </w:r>
      <w:hyperlink xmlns:r="http://schemas.openxmlformats.org/officeDocument/2006/relationships" r:id="docRId114">
        <w:r>
          <w:rPr>
            <w:rFonts w:ascii="Times New Roman" w:hAnsi="Times New Roman" w:cs="Times New Roman" w:eastAsia="Times New Roman"/>
            <w:color w:val="0000FF"/>
            <w:spacing w:val="0"/>
            <w:position w:val="0"/>
            <w:sz w:val="28"/>
            <w:u w:val="single"/>
            <w:shd w:fill="auto" w:val="clear"/>
          </w:rPr>
          <w:t xml:space="preserve">https://code.mu/ru/php/book/prime/</w:t>
        </w:r>
      </w:hyperlink>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 электронный</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Онлайн-учебник Laravel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 </w:t>
      </w:r>
      <w:hyperlink xmlns:r="http://schemas.openxmlformats.org/officeDocument/2006/relationships" r:id="docRId115">
        <w:r>
          <w:rPr>
            <w:rFonts w:ascii="Times New Roman" w:hAnsi="Times New Roman" w:cs="Times New Roman" w:eastAsia="Times New Roman"/>
            <w:color w:val="0000FF"/>
            <w:spacing w:val="0"/>
            <w:position w:val="0"/>
            <w:sz w:val="28"/>
            <w:u w:val="single"/>
            <w:shd w:fill="auto" w:val="clear"/>
          </w:rPr>
          <w:t xml:space="preserve">https://code.mu/ru/php/framework/laravel/book/prime/</w:t>
        </w:r>
      </w:hyperlink>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 электронный</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Онлайн-учебник JavaScript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 </w:t>
      </w:r>
      <w:hyperlink xmlns:r="http://schemas.openxmlformats.org/officeDocument/2006/relationships" r:id="docRId116">
        <w:r>
          <w:rPr>
            <w:rFonts w:ascii="Times New Roman" w:hAnsi="Times New Roman" w:cs="Times New Roman" w:eastAsia="Times New Roman"/>
            <w:color w:val="0000FF"/>
            <w:spacing w:val="0"/>
            <w:position w:val="0"/>
            <w:sz w:val="28"/>
            <w:u w:val="single"/>
            <w:shd w:fill="auto" w:val="clear"/>
          </w:rPr>
          <w:t xml:space="preserve">https://code.mu/ru/javascript/book/prime//</w:t>
        </w:r>
      </w:hyperlink>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 электронный</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Тузовский, А. Ф.  Проектирование и разработка web-приложений: учебное пособие для среднего профессионального образования / А. Ф. Тузовский.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Москва: Издательство Юрайт, 2024.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219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 электронный // Образовательная платформа Юрайт [сайт].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URL:</w:t>
      </w: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117">
        <w:r>
          <w:rPr>
            <w:rFonts w:ascii="Times New Roman" w:hAnsi="Times New Roman" w:cs="Times New Roman" w:eastAsia="Times New Roman"/>
            <w:color w:val="0000FF"/>
            <w:spacing w:val="0"/>
            <w:position w:val="0"/>
            <w:sz w:val="28"/>
            <w:u w:val="single"/>
            <w:shd w:fill="auto" w:val="clear"/>
          </w:rPr>
          <w:t xml:space="preserve">https://urait.ru/bcode/541917</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дата обращения: 28.03.2024).</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keepNext w:val="true"/>
        <w:keepLines w:val="true"/>
        <w:spacing w:before="0" w:after="160" w:line="276"/>
        <w:ind w:right="0" w:left="0" w:firstLine="709"/>
        <w:jc w:val="righ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ПРИЛОЖЕНИЕ А. ТЕХНИЧЕСКОЕ ЗАДАНИЕ </w:t>
      </w:r>
    </w:p>
    <w:p>
      <w:pPr>
        <w:spacing w:before="0" w:after="0" w:line="276"/>
        <w:ind w:right="0" w:left="708" w:firstLine="1"/>
        <w:jc w:val="both"/>
        <w:rPr>
          <w:rFonts w:ascii="Times New Roman" w:hAnsi="Times New Roman" w:cs="Times New Roman" w:eastAsia="Times New Roman"/>
          <w:color w:val="000000"/>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4"/>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709"/>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keepNext w:val="true"/>
        <w:keepLines w:val="true"/>
        <w:spacing w:before="0" w:after="160" w:line="276"/>
        <w:ind w:right="0" w:left="0" w:firstLine="709"/>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ПРИЛОЖЕНИЕ Б. ОРГАНИЗАЦИОННАЯ СТРУКТУРА ПРЕДПРИЯТИЯ </w:t>
      </w:r>
    </w:p>
    <w:p>
      <w:pPr>
        <w:spacing w:before="0" w:after="0" w:line="276"/>
        <w:ind w:right="0" w:left="0" w:firstLine="0"/>
        <w:jc w:val="center"/>
        <w:rPr>
          <w:rFonts w:ascii="Times New Roman" w:hAnsi="Times New Roman" w:cs="Times New Roman" w:eastAsia="Times New Roman"/>
          <w:color w:val="000000"/>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8">
    <w:abstractNumId w:val="90"/>
  </w:num>
  <w:num w:numId="21">
    <w:abstractNumId w:val="84"/>
  </w:num>
  <w:num w:numId="41">
    <w:abstractNumId w:val="78"/>
  </w:num>
  <w:num w:numId="52">
    <w:abstractNumId w:val="72"/>
  </w:num>
  <w:num w:numId="165">
    <w:abstractNumId w:val="66"/>
  </w:num>
  <w:num w:numId="167">
    <w:abstractNumId w:val="60"/>
  </w:num>
  <w:num w:numId="178">
    <w:abstractNumId w:val="54"/>
  </w:num>
  <w:num w:numId="189">
    <w:abstractNumId w:val="48"/>
  </w:num>
  <w:num w:numId="191">
    <w:abstractNumId w:val="42"/>
  </w:num>
  <w:num w:numId="203">
    <w:abstractNumId w:val="36"/>
  </w:num>
  <w:num w:numId="205">
    <w:abstractNumId w:val="30"/>
  </w:num>
  <w:num w:numId="207">
    <w:abstractNumId w:val="24"/>
  </w:num>
  <w:num w:numId="209">
    <w:abstractNumId w:val="18"/>
  </w:num>
  <w:num w:numId="224">
    <w:abstractNumId w:val="12"/>
  </w:num>
  <w:num w:numId="237">
    <w:abstractNumId w:val="6"/>
  </w:num>
  <w:num w:numId="2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8.bin" Id="docRId103" Type="http://schemas.openxmlformats.org/officeDocument/2006/relationships/oleObject" /><Relationship Target="media/image40.wmf" Id="docRId88" Type="http://schemas.openxmlformats.org/officeDocument/2006/relationships/image" /><Relationship Target="media/image41.wmf" Id="docRId90" Type="http://schemas.openxmlformats.org/officeDocument/2006/relationships/image" /><Relationship Target="media/image3.wmf" Id="docRId14" Type="http://schemas.openxmlformats.org/officeDocument/2006/relationships/image" /><Relationship Target="embeddings/oleObject34.bin" Id="docRId75" Type="http://schemas.openxmlformats.org/officeDocument/2006/relationships/oleObject" /><Relationship Target="embeddings/oleObject46.bin" Id="docRId99" Type="http://schemas.openxmlformats.org/officeDocument/2006/relationships/oleObject" /><Relationship TargetMode="External" Target="https://urait.ru/bcode/542802" Id="docRId113" Type="http://schemas.openxmlformats.org/officeDocument/2006/relationships/hyperlink" /><Relationship Target="embeddings/oleObject31.bin" Id="docRId69" Type="http://schemas.openxmlformats.org/officeDocument/2006/relationships/oleObject" /><Relationship Target="media/image14.wmf" Id="docRId36" Type="http://schemas.openxmlformats.org/officeDocument/2006/relationships/image" /><Relationship Target="embeddings/oleObject23.bin" Id="docRId53" Type="http://schemas.openxmlformats.org/officeDocument/2006/relationships/oleObject" /><Relationship Target="media/image26.wmf" Id="docRId60" Type="http://schemas.openxmlformats.org/officeDocument/2006/relationships/image" /><Relationship Target="embeddings/oleObject50.bin" Id="docRId107" Type="http://schemas.openxmlformats.org/officeDocument/2006/relationships/oleObject" /><Relationship Target="embeddings/oleObject3.bin" Id="docRId13" Type="http://schemas.openxmlformats.org/officeDocument/2006/relationships/oleObject" /><Relationship Target="media/image6.wmf" Id="docRId20" Type="http://schemas.openxmlformats.org/officeDocument/2006/relationships/image" /><Relationship Target="media/image25.wmf" Id="docRId58" Type="http://schemas.openxmlformats.org/officeDocument/2006/relationships/image" /><Relationship Target="media/image35.wmf" Id="docRId78" Type="http://schemas.openxmlformats.org/officeDocument/2006/relationships/image" /><Relationship Target="media/image43.wmf" Id="docRId94" Type="http://schemas.openxmlformats.org/officeDocument/2006/relationships/image" /><Relationship Target="embeddings/oleObject1.bin" Id="docRId2" Type="http://schemas.openxmlformats.org/officeDocument/2006/relationships/oleObject" /><Relationship Target="embeddings/oleObject32.bin" Id="docRId71" Type="http://schemas.openxmlformats.org/officeDocument/2006/relationships/oleObject" /><Relationship TargetMode="External" Target="https://urait.ru/bcode/541917" Id="docRId117" Type="http://schemas.openxmlformats.org/officeDocument/2006/relationships/hyperlink" /><Relationship Target="embeddings/oleObject12.bin" Id="docRId31" Type="http://schemas.openxmlformats.org/officeDocument/2006/relationships/oleObject" /><Relationship Target="media/image17.wmf" Id="docRId42" Type="http://schemas.openxmlformats.org/officeDocument/2006/relationships/image" /><Relationship Target="media/image24.wmf" Id="docRId56" Type="http://schemas.openxmlformats.org/officeDocument/2006/relationships/image" /><Relationship Target="embeddings/oleObject29.bin" Id="docRId65" Type="http://schemas.openxmlformats.org/officeDocument/2006/relationships/oleObject" /><Relationship Target="media/image39.wmf" Id="docRId86" Type="http://schemas.openxmlformats.org/officeDocument/2006/relationships/image" /><Relationship Target="media/image47.wmf" Id="docRId102" Type="http://schemas.openxmlformats.org/officeDocument/2006/relationships/image" /><Relationship Target="embeddings/oleObject41.bin" Id="docRId89" Type="http://schemas.openxmlformats.org/officeDocument/2006/relationships/oleObject" /><Relationship Target="embeddings/oleObject43.bin" Id="docRId93" Type="http://schemas.openxmlformats.org/officeDocument/2006/relationships/oleObject" /><Relationship Target="embeddings/oleObject5.bin" Id="docRId17" Type="http://schemas.openxmlformats.org/officeDocument/2006/relationships/oleObject" /><Relationship Target="media/image8.wmf" Id="docRId24" Type="http://schemas.openxmlformats.org/officeDocument/2006/relationships/image" /><Relationship Target="media/image33.wmf" Id="docRId74" Type="http://schemas.openxmlformats.org/officeDocument/2006/relationships/image" /><Relationship Target="media/image45.wmf" Id="docRId98" Type="http://schemas.openxmlformats.org/officeDocument/2006/relationships/image" /><Relationship TargetMode="External" Target="https://ru.wikipedia.org/wiki/%D0%A1%D0%B8%D1%81%D1%82%D0%B5%D0%BC%D0%B0_%D1%83%D0%BF%D1%80%D0%B0%D0%B2%D0%BB%D0%B5%D0%BD%D0%B8%D1%8F_%D1%81%D0%BE%D0%B4%D0%B5%D1%80%D0%B6%D0%B8%D0%BC%D1%8B%D0%BC" Id="docRId6" Type="http://schemas.openxmlformats.org/officeDocument/2006/relationships/hyperlink" /><Relationship Target="embeddings/oleObject14.bin" Id="docRId35" Type="http://schemas.openxmlformats.org/officeDocument/2006/relationships/oleObject" /><Relationship Target="media/image19.wmf" Id="docRId46" Type="http://schemas.openxmlformats.org/officeDocument/2006/relationships/image" /><Relationship Target="media/image22.wmf" Id="docRId52" Type="http://schemas.openxmlformats.org/officeDocument/2006/relationships/image" /><Relationship Target="embeddings/oleObject27.bin" Id="docRId61" Type="http://schemas.openxmlformats.org/officeDocument/2006/relationships/oleObject" /><Relationship Target="media/image37.wmf" Id="docRId82" Type="http://schemas.openxmlformats.org/officeDocument/2006/relationships/image" /><Relationship Target="media/image49.wmf" Id="docRId106" Type="http://schemas.openxmlformats.org/officeDocument/2006/relationships/image" /><Relationship TargetMode="External" Target="https://ru.wikipedia.org/wiki/%D0%90%D1%80%D1%85%D0%B8%D1%82%D0%B5%D0%BA%D1%82%D1%83%D1%80%D0%B0_%D0%BF%D1%80%D0%BE%D0%B3%D1%80%D0%B0%D0%BC%D0%BC%D0%BD%D0%BE%D0%B3%D0%BE_%D0%BE%D0%B1%D0%B5%D1%81%D0%BF%D0%B5%D1%87%D0%B5%D0%BD%D0%B8%D1%8F" Id="docRId12" Type="http://schemas.openxmlformats.org/officeDocument/2006/relationships/hyperlink" /><Relationship Target="embeddings/oleObject7.bin" Id="docRId21" Type="http://schemas.openxmlformats.org/officeDocument/2006/relationships/oleObject" /><Relationship TargetMode="External" Target="https://ru.wikipedia.org/wiki/PHP" Id="docRId8" Type="http://schemas.openxmlformats.org/officeDocument/2006/relationships/hyperlink" /><Relationship Target="embeddings/oleObject45.bin" Id="docRId97" Type="http://schemas.openxmlformats.org/officeDocument/2006/relationships/oleObject" /><Relationship Target="media/image10.wmf" Id="docRId28" Type="http://schemas.openxmlformats.org/officeDocument/2006/relationships/image" /><Relationship Target="media/image1.wmf" Id="docRId3" Type="http://schemas.openxmlformats.org/officeDocument/2006/relationships/image" /><Relationship Target="media/image20.wmf" Id="docRId48" Type="http://schemas.openxmlformats.org/officeDocument/2006/relationships/image" /><Relationship Target="media/image31.wmf" Id="docRId70" Type="http://schemas.openxmlformats.org/officeDocument/2006/relationships/image" /><Relationship TargetMode="External" Target="https://urait.ru/bcode/542800" Id="docRId110" Type="http://schemas.openxmlformats.org/officeDocument/2006/relationships/hyperlink" /><Relationship Target="media/image11.wmf" Id="docRId30" Type="http://schemas.openxmlformats.org/officeDocument/2006/relationships/image" /><Relationship Target="embeddings/oleObject18.bin" Id="docRId43" Type="http://schemas.openxmlformats.org/officeDocument/2006/relationships/oleObject" /><Relationship Target="media/image29.wmf" Id="docRId66" Type="http://schemas.openxmlformats.org/officeDocument/2006/relationships/image" /><Relationship Target="embeddings/oleObject40.bin" Id="docRId87" Type="http://schemas.openxmlformats.org/officeDocument/2006/relationships/oleObject" /><Relationship Target="embeddings/oleObject47.bin" Id="docRId101" Type="http://schemas.openxmlformats.org/officeDocument/2006/relationships/oleObject" /><Relationship Target="embeddings/oleObject6.bin" Id="docRId19" Type="http://schemas.openxmlformats.org/officeDocument/2006/relationships/oleObject" /><Relationship Target="embeddings/oleObject16.bin" Id="docRId39" Type="http://schemas.openxmlformats.org/officeDocument/2006/relationships/oleObject" /><Relationship Target="media/image2.wmf" Id="docRId5" Type="http://schemas.openxmlformats.org/officeDocument/2006/relationships/image" /><Relationship Target="media/image32.wmf" Id="docRId72" Type="http://schemas.openxmlformats.org/officeDocument/2006/relationships/image" /><Relationship Target="media/image42.wmf" Id="docRId92" Type="http://schemas.openxmlformats.org/officeDocument/2006/relationships/image" /><Relationship TargetMode="External" Target="https://code.mu/ru/javascript/book/prime//" Id="docRId116" Type="http://schemas.openxmlformats.org/officeDocument/2006/relationships/hyperlink" /><Relationship Target="media/image4.wmf" Id="docRId16" Type="http://schemas.openxmlformats.org/officeDocument/2006/relationships/image" /><Relationship Target="embeddings/oleObject9.bin" Id="docRId25" Type="http://schemas.openxmlformats.org/officeDocument/2006/relationships/oleObject" /><Relationship Target="media/image12.wmf" Id="docRId32" Type="http://schemas.openxmlformats.org/officeDocument/2006/relationships/image" /><Relationship Target="embeddings/oleObject19.bin" Id="docRId45" Type="http://schemas.openxmlformats.org/officeDocument/2006/relationships/oleObject" /><Relationship Target="embeddings/oleObject25.bin" Id="docRId57" Type="http://schemas.openxmlformats.org/officeDocument/2006/relationships/oleObject" /><Relationship Target="media/image28.wmf" Id="docRId64" Type="http://schemas.openxmlformats.org/officeDocument/2006/relationships/image" /><Relationship Target="embeddings/oleObject37.bin" Id="docRId81" Type="http://schemas.openxmlformats.org/officeDocument/2006/relationships/oleObject" /><Relationship TargetMode="External" Target="https://ru.wikipedia.org/wiki/%D0%9E%D1%82%D0%BA%D1%80%D1%8B%D1%82%D1%8B%D0%B9_%D0%B8%D1%81%D1%85%D0%BE%D0%B4%D0%BD%D1%8B%D0%B9_%D0%BA%D0%BE%D0%B4" Id="docRId7" Type="http://schemas.openxmlformats.org/officeDocument/2006/relationships/hyperlink" /><Relationship TargetMode="External" Target="https://code.mu/ru/php/book/prime/" Id="docRId114" Type="http://schemas.openxmlformats.org/officeDocument/2006/relationships/hyperlink" /><Relationship Target="media/image13.wmf" Id="docRId34" Type="http://schemas.openxmlformats.org/officeDocument/2006/relationships/image" /><Relationship Target="embeddings/oleObject20.bin" Id="docRId47" Type="http://schemas.openxmlformats.org/officeDocument/2006/relationships/oleObject" /><Relationship Target="embeddings/oleObject24.bin" Id="docRId55" Type="http://schemas.openxmlformats.org/officeDocument/2006/relationships/oleObject" /><Relationship Target="media/image27.wmf" Id="docRId62" Type="http://schemas.openxmlformats.org/officeDocument/2006/relationships/image" /><Relationship Target="embeddings/oleObject38.bin" Id="docRId83" Type="http://schemas.openxmlformats.org/officeDocument/2006/relationships/oleObject" /><Relationship Target="embeddings/oleObject49.bin" Id="docRId105" Type="http://schemas.openxmlformats.org/officeDocument/2006/relationships/oleObject" /><Relationship Target="media/image7.wmf" Id="docRId22" Type="http://schemas.openxmlformats.org/officeDocument/2006/relationships/image" /><Relationship TargetMode="External" Target="https://ru.wikipedia.org/wiki/MySQL" Id="docRId9" Type="http://schemas.openxmlformats.org/officeDocument/2006/relationships/hyperlink" /><Relationship Target="media/image44.wmf" Id="docRId96" Type="http://schemas.openxmlformats.org/officeDocument/2006/relationships/image" /><Relationship Target="embeddings/oleObject0.bin" Id="docRId0" Type="http://schemas.openxmlformats.org/officeDocument/2006/relationships/oleObject" /><Relationship Target="embeddings/oleObject11.bin" Id="docRId29" Type="http://schemas.openxmlformats.org/officeDocument/2006/relationships/oleObject" /><Relationship Target="embeddings/oleObject21.bin" Id="docRId49" Type="http://schemas.openxmlformats.org/officeDocument/2006/relationships/oleObject" /><Relationship Target="embeddings/oleObject35.bin" Id="docRId77" Type="http://schemas.openxmlformats.org/officeDocument/2006/relationships/oleObject" /><Relationship TargetMode="External" Target="https://urait.ru/bcode/545237" Id="docRId111" Type="http://schemas.openxmlformats.org/officeDocument/2006/relationships/hyperlink" /><Relationship Target="media/image16.wmf" Id="docRId40" Type="http://schemas.openxmlformats.org/officeDocument/2006/relationships/image" /><Relationship Target="embeddings/oleObject30.bin" Id="docRId67" Type="http://schemas.openxmlformats.org/officeDocument/2006/relationships/oleObject" /><Relationship Target="media/image38.wmf" Id="docRId84" Type="http://schemas.openxmlformats.org/officeDocument/2006/relationships/image" /><Relationship Target="media/image46.wmf" Id="docRId100" Type="http://schemas.openxmlformats.org/officeDocument/2006/relationships/image" /><Relationship Target="numbering.xml" Id="docRId118" Type="http://schemas.openxmlformats.org/officeDocument/2006/relationships/numbering" /><Relationship Target="media/image5.wmf" Id="docRId18" Type="http://schemas.openxmlformats.org/officeDocument/2006/relationships/image" /><Relationship Target="media/image15.wmf" Id="docRId38" Type="http://schemas.openxmlformats.org/officeDocument/2006/relationships/image" /><Relationship Target="embeddings/oleObject22.bin" Id="docRId51" Type="http://schemas.openxmlformats.org/officeDocument/2006/relationships/oleObject" /><Relationship TargetMode="External" Target="https://urait.ru/bcode/538545" Id="docRId109" Type="http://schemas.openxmlformats.org/officeDocument/2006/relationships/hyperlink" /><Relationship TargetMode="External" Target="https://ru.wikipedia.org/wiki/%D0%9F%D0%BB%D0%B0%D0%B3%D0%B8%D0%BD" Id="docRId11" Type="http://schemas.openxmlformats.org/officeDocument/2006/relationships/hyperlink" /><Relationship Target="media/image9.wmf" Id="docRId26" Type="http://schemas.openxmlformats.org/officeDocument/2006/relationships/image" /><Relationship Target="embeddings/oleObject2.bin" Id="docRId4" Type="http://schemas.openxmlformats.org/officeDocument/2006/relationships/oleObject" /><Relationship Target="embeddings/oleObject33.bin" Id="docRId73" Type="http://schemas.openxmlformats.org/officeDocument/2006/relationships/oleObject" /><Relationship TargetMode="External" Target="https://code.mu/ru/php/framework/laravel/book/prime/" Id="docRId115" Type="http://schemas.openxmlformats.org/officeDocument/2006/relationships/hyperlink" /><Relationship Target="embeddings/oleObject13.bin" Id="docRId33" Type="http://schemas.openxmlformats.org/officeDocument/2006/relationships/oleObject" /><Relationship Target="media/image18.wmf" Id="docRId44" Type="http://schemas.openxmlformats.org/officeDocument/2006/relationships/image" /><Relationship Target="media/image23.wmf" Id="docRId54" Type="http://schemas.openxmlformats.org/officeDocument/2006/relationships/image" /><Relationship Target="embeddings/oleObject28.bin" Id="docRId63" Type="http://schemas.openxmlformats.org/officeDocument/2006/relationships/oleObject" /><Relationship Target="media/image36.wmf" Id="docRId80" Type="http://schemas.openxmlformats.org/officeDocument/2006/relationships/image" /><Relationship Target="media/image48.wmf" Id="docRId104" Type="http://schemas.openxmlformats.org/officeDocument/2006/relationships/image" /><Relationship Target="embeddings/oleObject8.bin" Id="docRId23" Type="http://schemas.openxmlformats.org/officeDocument/2006/relationships/oleObject" /><Relationship Target="embeddings/oleObject42.bin" Id="docRId91" Type="http://schemas.openxmlformats.org/officeDocument/2006/relationships/oleObject" /><Relationship Target="media/image0.wmf" Id="docRId1" Type="http://schemas.openxmlformats.org/officeDocument/2006/relationships/image" /><Relationship Target="embeddings/oleObject4.bin" Id="docRId15" Type="http://schemas.openxmlformats.org/officeDocument/2006/relationships/oleObject" /><Relationship Target="media/image34.wmf" Id="docRId76" Type="http://schemas.openxmlformats.org/officeDocument/2006/relationships/image" /><Relationship TargetMode="External" Target="https://urait.ru/bcode/517538" Id="docRId112" Type="http://schemas.openxmlformats.org/officeDocument/2006/relationships/hyperlink" /><Relationship Target="embeddings/oleObject17.bin" Id="docRId41" Type="http://schemas.openxmlformats.org/officeDocument/2006/relationships/oleObject" /><Relationship Target="media/image30.wmf" Id="docRId68" Type="http://schemas.openxmlformats.org/officeDocument/2006/relationships/image" /><Relationship Target="embeddings/oleObject39.bin" Id="docRId85" Type="http://schemas.openxmlformats.org/officeDocument/2006/relationships/oleObject" /><Relationship Target="styles.xml" Id="docRId119" Type="http://schemas.openxmlformats.org/officeDocument/2006/relationships/styles" /><Relationship Target="embeddings/oleObject15.bin" Id="docRId37" Type="http://schemas.openxmlformats.org/officeDocument/2006/relationships/oleObject" /><Relationship Target="media/image21.wmf" Id="docRId50" Type="http://schemas.openxmlformats.org/officeDocument/2006/relationships/image" /><Relationship TargetMode="External" Target="https://ru.wikipedia.org/wiki/%D0%91%D0%BB%D0%BE%D0%B3" Id="docRId10" Type="http://schemas.openxmlformats.org/officeDocument/2006/relationships/hyperlink" /><Relationship Target="media/image50.wmf" Id="docRId108" Type="http://schemas.openxmlformats.org/officeDocument/2006/relationships/image" /><Relationship Target="embeddings/oleObject10.bin" Id="docRId27" Type="http://schemas.openxmlformats.org/officeDocument/2006/relationships/oleObject" /><Relationship Target="embeddings/oleObject26.bin" Id="docRId59" Type="http://schemas.openxmlformats.org/officeDocument/2006/relationships/oleObject" /><Relationship Target="embeddings/oleObject36.bin" Id="docRId79" Type="http://schemas.openxmlformats.org/officeDocument/2006/relationships/oleObject" /><Relationship Target="embeddings/oleObject44.bin" Id="docRId95" Type="http://schemas.openxmlformats.org/officeDocument/2006/relationships/oleObject" /></Relationships>
</file>