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979" w:rsidRPr="0087075D" w:rsidRDefault="00813979" w:rsidP="001364C3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  <w:r w:rsidRPr="0087075D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MINISTÉRIO </w:t>
      </w:r>
      <w:r w:rsidR="007A596A" w:rsidRPr="0087075D">
        <w:rPr>
          <w:rFonts w:eastAsia="Times New Roman" w:cs="Times New Roman"/>
          <w:b/>
          <w:bCs/>
          <w:color w:val="050505"/>
          <w:szCs w:val="24"/>
          <w:lang w:eastAsia="pt-BR"/>
        </w:rPr>
        <w:t>DA CULTURA</w:t>
      </w:r>
    </w:p>
    <w:p w:rsidR="00813979" w:rsidRPr="00107AF5" w:rsidRDefault="0087075D" w:rsidP="00117CA1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Cs/>
          <w:color w:val="050505"/>
          <w:szCs w:val="24"/>
          <w:lang w:eastAsia="pt-BR"/>
        </w:rPr>
      </w:pPr>
      <w:r w:rsidRPr="00107AF5">
        <w:rPr>
          <w:rFonts w:eastAsia="Times New Roman" w:cs="Times New Roman"/>
          <w:bCs/>
          <w:color w:val="050505"/>
          <w:szCs w:val="24"/>
          <w:lang w:eastAsia="pt-BR"/>
        </w:rPr>
        <w:t>Secretaria-Executiva</w:t>
      </w:r>
    </w:p>
    <w:p w:rsidR="00813979" w:rsidRPr="00107AF5" w:rsidRDefault="00813979" w:rsidP="0064562F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</w:p>
    <w:p w:rsidR="00813979" w:rsidRPr="00107AF5" w:rsidRDefault="00813979" w:rsidP="000312E2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</w:p>
    <w:p w:rsidR="00813979" w:rsidRPr="00107AF5" w:rsidRDefault="00813979" w:rsidP="00256C19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NORMA OPERACIONAL </w:t>
      </w:r>
      <w:r w:rsidR="003A6717"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Nº</w:t>
      </w:r>
      <w:r w:rsidR="003A6717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87075D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    </w:t>
      </w:r>
      <w:proofErr w:type="gramStart"/>
      <w:r w:rsidR="0087075D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 </w:t>
      </w: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,</w:t>
      </w:r>
      <w:proofErr w:type="gramEnd"/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3A6717"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DE</w:t>
      </w:r>
      <w:r w:rsidR="003A6717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87075D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   </w:t>
      </w:r>
      <w:r w:rsidR="00EC6A0C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proofErr w:type="spellStart"/>
      <w:r w:rsidR="003A6717"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DE</w:t>
      </w:r>
      <w:proofErr w:type="spellEnd"/>
      <w:r w:rsidR="003A6717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87075D">
        <w:rPr>
          <w:rFonts w:eastAsia="Times New Roman" w:cs="Times New Roman"/>
          <w:b/>
          <w:bCs/>
          <w:color w:val="050505"/>
          <w:szCs w:val="24"/>
          <w:lang w:eastAsia="pt-BR"/>
        </w:rPr>
        <w:t>SETEMBRO</w:t>
      </w:r>
      <w:r w:rsidR="00D80B64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7A596A">
        <w:rPr>
          <w:rFonts w:eastAsia="Times New Roman" w:cs="Times New Roman"/>
          <w:b/>
          <w:bCs/>
          <w:color w:val="050505"/>
          <w:szCs w:val="24"/>
          <w:lang w:eastAsia="pt-BR"/>
        </w:rPr>
        <w:t>DE 2015</w:t>
      </w: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. </w:t>
      </w:r>
    </w:p>
    <w:p w:rsidR="00813979" w:rsidRDefault="00813979" w:rsidP="00256C19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Times New Roman"/>
          <w:bCs/>
          <w:color w:val="050505"/>
          <w:szCs w:val="24"/>
          <w:lang w:eastAsia="pt-BR"/>
        </w:rPr>
      </w:pPr>
    </w:p>
    <w:p w:rsidR="00EC6A0C" w:rsidRPr="00107AF5" w:rsidRDefault="00EC6A0C" w:rsidP="00256C19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 w:cs="Times New Roman"/>
          <w:bCs/>
          <w:color w:val="050505"/>
          <w:szCs w:val="24"/>
          <w:lang w:eastAsia="pt-BR"/>
        </w:rPr>
      </w:pPr>
    </w:p>
    <w:p w:rsidR="00663D39" w:rsidRPr="00107AF5" w:rsidRDefault="00224F90" w:rsidP="00256C19">
      <w:pPr>
        <w:pStyle w:val="NormalWeb"/>
        <w:spacing w:before="0" w:beforeAutospacing="0" w:after="0" w:afterAutospacing="0"/>
        <w:ind w:left="5245" w:firstLine="0"/>
      </w:pPr>
      <w:r w:rsidRPr="00107AF5">
        <w:t>Dispõe sobre a Metodologia de Gerenciamento de Projetos</w:t>
      </w:r>
      <w:r w:rsidR="00C35AA4" w:rsidRPr="00107AF5">
        <w:t xml:space="preserve"> de Tecnologia da Informação</w:t>
      </w:r>
      <w:r w:rsidR="00ED64D5" w:rsidRPr="00107AF5">
        <w:t xml:space="preserve"> - M</w:t>
      </w:r>
      <w:r w:rsidR="00273371" w:rsidRPr="00107AF5">
        <w:t xml:space="preserve">GP-TI, </w:t>
      </w:r>
      <w:r w:rsidRPr="00107AF5">
        <w:t xml:space="preserve">utilizada no âmbito </w:t>
      </w:r>
      <w:r w:rsidR="00FC69CE" w:rsidRPr="00107AF5">
        <w:t xml:space="preserve">do Ministério </w:t>
      </w:r>
      <w:r w:rsidR="007A596A">
        <w:t>da Cultura</w:t>
      </w:r>
      <w:r w:rsidRPr="00107AF5">
        <w:t>.</w:t>
      </w:r>
    </w:p>
    <w:p w:rsidR="00663D39" w:rsidRDefault="00663D39" w:rsidP="00256C19">
      <w:pPr>
        <w:pStyle w:val="NormalWeb"/>
        <w:spacing w:before="0" w:beforeAutospacing="0" w:after="0" w:afterAutospacing="0"/>
        <w:ind w:left="5387" w:firstLine="0"/>
      </w:pPr>
    </w:p>
    <w:p w:rsidR="00EC6A0C" w:rsidRPr="00107AF5" w:rsidRDefault="00EC6A0C" w:rsidP="00256C19">
      <w:pPr>
        <w:pStyle w:val="NormalWeb"/>
        <w:spacing w:before="0" w:beforeAutospacing="0" w:after="0" w:afterAutospacing="0"/>
        <w:ind w:left="5387" w:firstLine="0"/>
      </w:pPr>
    </w:p>
    <w:p w:rsidR="00663D39" w:rsidRPr="00A45281" w:rsidRDefault="00663D39" w:rsidP="00663D39">
      <w:pPr>
        <w:rPr>
          <w:rFonts w:cs="Times New Roman"/>
          <w:szCs w:val="24"/>
        </w:rPr>
      </w:pPr>
      <w:r w:rsidRPr="00256C19">
        <w:rPr>
          <w:rFonts w:cs="Times New Roman"/>
          <w:b/>
          <w:szCs w:val="24"/>
        </w:rPr>
        <w:t xml:space="preserve">O </w:t>
      </w:r>
      <w:r w:rsidR="0087075D">
        <w:rPr>
          <w:rFonts w:cs="Times New Roman"/>
          <w:b/>
          <w:szCs w:val="24"/>
        </w:rPr>
        <w:t>SECRETÁRIO-EXECUTIVO</w:t>
      </w:r>
      <w:r w:rsidRPr="00256C19">
        <w:rPr>
          <w:rFonts w:cs="Times New Roman"/>
          <w:b/>
          <w:szCs w:val="24"/>
        </w:rPr>
        <w:t>,</w:t>
      </w:r>
      <w:r w:rsidRPr="00256C19">
        <w:rPr>
          <w:rFonts w:cs="Times New Roman"/>
          <w:szCs w:val="24"/>
        </w:rPr>
        <w:t xml:space="preserve"> no uso de suas atribuições e da competência que lhe foi atribuída no </w:t>
      </w:r>
      <w:r w:rsidR="0087075D" w:rsidRPr="0087075D">
        <w:rPr>
          <w:rFonts w:cs="Times New Roman"/>
          <w:szCs w:val="24"/>
        </w:rPr>
        <w:t xml:space="preserve">parágrafo único do art. 1º, </w:t>
      </w:r>
      <w:r w:rsidRPr="0087075D">
        <w:rPr>
          <w:rFonts w:cs="Times New Roman"/>
          <w:szCs w:val="24"/>
        </w:rPr>
        <w:t xml:space="preserve">do Regimento Interno, aprovado pela Portaria nº </w:t>
      </w:r>
      <w:r w:rsidR="0087075D" w:rsidRPr="0087075D">
        <w:rPr>
          <w:rFonts w:cs="Times New Roman"/>
          <w:szCs w:val="24"/>
        </w:rPr>
        <w:t>40</w:t>
      </w:r>
      <w:r w:rsidRPr="0087075D">
        <w:rPr>
          <w:rFonts w:cs="Times New Roman"/>
          <w:szCs w:val="24"/>
        </w:rPr>
        <w:t xml:space="preserve">, </w:t>
      </w:r>
      <w:r w:rsidR="0087075D" w:rsidRPr="0087075D">
        <w:rPr>
          <w:rFonts w:cs="Times New Roman"/>
          <w:szCs w:val="24"/>
        </w:rPr>
        <w:t>de 30 de abril de 2013</w:t>
      </w:r>
      <w:r w:rsidRPr="0087075D">
        <w:rPr>
          <w:rFonts w:cs="Times New Roman"/>
          <w:szCs w:val="24"/>
        </w:rPr>
        <w:t xml:space="preserve">, </w:t>
      </w:r>
      <w:r w:rsidRPr="00256C19">
        <w:rPr>
          <w:rFonts w:cs="Times New Roman"/>
          <w:szCs w:val="24"/>
        </w:rPr>
        <w:t>resolve:</w:t>
      </w:r>
    </w:p>
    <w:p w:rsidR="00663D39" w:rsidRPr="00107AF5" w:rsidRDefault="00B37154" w:rsidP="00256C19">
      <w:pPr>
        <w:pStyle w:val="Artigo"/>
      </w:pPr>
      <w:r>
        <w:t xml:space="preserve">  </w:t>
      </w:r>
      <w:r w:rsidR="00663D39" w:rsidRPr="00107AF5">
        <w:t xml:space="preserve">Estabelecer </w:t>
      </w:r>
      <w:r w:rsidR="00FC69CE" w:rsidRPr="00107AF5">
        <w:t>a Metodologia de Gerenciamento de Projetos</w:t>
      </w:r>
      <w:r w:rsidR="00BB3E59" w:rsidRPr="00107AF5">
        <w:t xml:space="preserve"> de Tecnologia da Informação</w:t>
      </w:r>
      <w:r w:rsidR="00FC69CE" w:rsidRPr="00107AF5">
        <w:t xml:space="preserve"> </w:t>
      </w:r>
      <w:r w:rsidR="001C223C">
        <w:t>(</w:t>
      </w:r>
      <w:r w:rsidR="00FC69CE" w:rsidRPr="00107AF5">
        <w:t>MGP</w:t>
      </w:r>
      <w:r w:rsidR="007820A6" w:rsidRPr="00107AF5">
        <w:t>-</w:t>
      </w:r>
      <w:r w:rsidR="00FC69CE" w:rsidRPr="00107AF5">
        <w:t>TI</w:t>
      </w:r>
      <w:r w:rsidR="001C223C">
        <w:t>)</w:t>
      </w:r>
      <w:r w:rsidR="00FC69CE" w:rsidRPr="00107AF5">
        <w:t xml:space="preserve"> </w:t>
      </w:r>
      <w:r w:rsidR="00663D39" w:rsidRPr="00107AF5">
        <w:t xml:space="preserve">no âmbito </w:t>
      </w:r>
      <w:r w:rsidR="00FC69CE" w:rsidRPr="00107AF5">
        <w:t>do</w:t>
      </w:r>
      <w:r w:rsidR="00663D39" w:rsidRPr="00107AF5">
        <w:t xml:space="preserve"> Ministério da </w:t>
      </w:r>
      <w:r w:rsidR="007A596A">
        <w:t>Cultura</w:t>
      </w:r>
      <w:r w:rsidR="001C223C">
        <w:t xml:space="preserve"> (M</w:t>
      </w:r>
      <w:r w:rsidR="007A596A">
        <w:t>in</w:t>
      </w:r>
      <w:r w:rsidR="001C223C">
        <w:t>C)</w:t>
      </w:r>
      <w:r w:rsidR="00663D39" w:rsidRPr="00107AF5">
        <w:t>.</w:t>
      </w:r>
    </w:p>
    <w:p w:rsidR="00FC69CE" w:rsidRPr="00107AF5" w:rsidRDefault="00B37154" w:rsidP="00256C19">
      <w:pPr>
        <w:pStyle w:val="Artigo"/>
      </w:pPr>
      <w:r>
        <w:t xml:space="preserve">  </w:t>
      </w:r>
      <w:r w:rsidR="00663D39" w:rsidRPr="00107AF5">
        <w:t xml:space="preserve">Esta Norma aplica-se a todos os </w:t>
      </w:r>
      <w:r w:rsidR="001A35F9" w:rsidRPr="00256C19">
        <w:t>colaboradores</w:t>
      </w:r>
      <w:r w:rsidR="00FC69CE" w:rsidRPr="00DF6D14">
        <w:rPr>
          <w:i/>
        </w:rPr>
        <w:t xml:space="preserve"> </w:t>
      </w:r>
      <w:r w:rsidR="00FC69CE" w:rsidRPr="00107AF5">
        <w:t xml:space="preserve">que utilizam e demandam serviços </w:t>
      </w:r>
      <w:r w:rsidR="001C223C">
        <w:t>de Tecnologia da Informação (TI)</w:t>
      </w:r>
      <w:r w:rsidR="00FC69CE" w:rsidRPr="00107AF5">
        <w:t xml:space="preserve"> </w:t>
      </w:r>
      <w:r w:rsidR="00663D39" w:rsidRPr="00107AF5">
        <w:t>no âmbito do Ministério da C</w:t>
      </w:r>
      <w:r w:rsidR="007A596A">
        <w:t>ultura</w:t>
      </w:r>
      <w:r w:rsidR="00FC69CE" w:rsidRPr="00107AF5">
        <w:t>.</w:t>
      </w:r>
      <w:r w:rsidR="00663D39" w:rsidRPr="00107AF5">
        <w:t xml:space="preserve"> </w:t>
      </w:r>
    </w:p>
    <w:p w:rsidR="00B21514" w:rsidRDefault="003E62E1" w:rsidP="00256C19">
      <w:pPr>
        <w:pStyle w:val="Captulo"/>
      </w:pPr>
      <w:r>
        <w:t xml:space="preserve">Capítulo I  </w:t>
      </w:r>
    </w:p>
    <w:p w:rsidR="00224F90" w:rsidRPr="00256C19" w:rsidRDefault="00224F90" w:rsidP="00256C19">
      <w:pPr>
        <w:pStyle w:val="Captulo"/>
        <w:rPr>
          <w:rFonts w:cs="Times New Roman"/>
          <w:szCs w:val="24"/>
        </w:rPr>
      </w:pPr>
      <w:r w:rsidRPr="00256C19">
        <w:rPr>
          <w:rFonts w:cs="Times New Roman"/>
          <w:szCs w:val="24"/>
        </w:rPr>
        <w:t>Das Disposições Preliminares</w:t>
      </w:r>
    </w:p>
    <w:p w:rsidR="001A39CB" w:rsidRDefault="00B37154" w:rsidP="00256C19">
      <w:pPr>
        <w:pStyle w:val="Artigo"/>
      </w:pPr>
      <w:r>
        <w:t xml:space="preserve">  </w:t>
      </w:r>
      <w:r w:rsidR="001C223C">
        <w:t xml:space="preserve">A MGP-TI define exclusivamente os processos de gerenciamento de projetos. Desta forma, a metodologia não estabelece as ferramentas de apoio nem define os processos técnicos envolvidos nos projetos, que são específicos a </w:t>
      </w:r>
      <w:r w:rsidR="001C223C" w:rsidRPr="001A39CB">
        <w:t xml:space="preserve">cada área de conhecimento, </w:t>
      </w:r>
      <w:r w:rsidR="001C223C" w:rsidRPr="001C223C">
        <w:t>como por exemplo: processos de desenvolvimento de software.</w:t>
      </w:r>
    </w:p>
    <w:p w:rsidR="001A39CB" w:rsidRDefault="00B37154" w:rsidP="001A39CB">
      <w:pPr>
        <w:pStyle w:val="Artigo"/>
      </w:pPr>
      <w:r>
        <w:t xml:space="preserve">  </w:t>
      </w:r>
      <w:r w:rsidR="001A39CB">
        <w:t>São objetivos gerais da MGP-TI:</w:t>
      </w:r>
    </w:p>
    <w:p w:rsidR="001A39CB" w:rsidRDefault="001A39CB" w:rsidP="00256C19">
      <w:pPr>
        <w:pStyle w:val="Inciso"/>
      </w:pPr>
      <w:r>
        <w:t>Aumentar a probabilidade de êxito dos projetos;</w:t>
      </w:r>
    </w:p>
    <w:p w:rsidR="001A39CB" w:rsidRDefault="001A39CB" w:rsidP="00256C19">
      <w:pPr>
        <w:pStyle w:val="Inciso"/>
      </w:pPr>
      <w:r>
        <w:t>Maximizar os benefícios obtidos a partir dos resultados dos projetos;</w:t>
      </w:r>
    </w:p>
    <w:p w:rsidR="001A39CB" w:rsidRDefault="001A39CB" w:rsidP="00256C19">
      <w:pPr>
        <w:pStyle w:val="Inciso"/>
      </w:pPr>
      <w:r>
        <w:t>Gerenciar os riscos envolvidos nos projetos, minimizando as ocorrências de impacto negativo e potencializando aquelas que resultem em benefícios para a execução do projeto;</w:t>
      </w:r>
    </w:p>
    <w:p w:rsidR="001A39CB" w:rsidRDefault="001A39CB" w:rsidP="00256C19">
      <w:pPr>
        <w:pStyle w:val="Inciso"/>
      </w:pPr>
      <w:r>
        <w:t>Permitir o compartilhamento efetivo de informações sobre o andamento do projeto com todos os envolvidos;</w:t>
      </w:r>
    </w:p>
    <w:p w:rsidR="001A39CB" w:rsidRDefault="001A39CB" w:rsidP="00256C19">
      <w:pPr>
        <w:pStyle w:val="Inciso"/>
      </w:pPr>
      <w:r>
        <w:t>Permitir que projetos com baixa probabilidade de sucesso possam ser rapidamente replanejados ou até mesmo cancelados;</w:t>
      </w:r>
    </w:p>
    <w:p w:rsidR="001A39CB" w:rsidRDefault="001A39CB" w:rsidP="00256C19">
      <w:pPr>
        <w:pStyle w:val="Inciso"/>
      </w:pPr>
      <w:r>
        <w:t>Reduzir a complexidade do processo de gestão de projetos a uma abordagem direta, baseada em critérios, centrada na comunicação e no compartilhamento de decisões;</w:t>
      </w:r>
    </w:p>
    <w:p w:rsidR="001A39CB" w:rsidRDefault="001A39CB" w:rsidP="00256C19">
      <w:pPr>
        <w:pStyle w:val="Inciso"/>
      </w:pPr>
      <w:r>
        <w:t>Padronizar as práticas de gestão de projetos de TI aplicadas no M</w:t>
      </w:r>
      <w:r w:rsidR="007A596A">
        <w:t>in</w:t>
      </w:r>
      <w:r>
        <w:t>C; e</w:t>
      </w:r>
    </w:p>
    <w:p w:rsidR="00224F90" w:rsidRPr="00256C19" w:rsidRDefault="001A39CB" w:rsidP="00256C19">
      <w:pPr>
        <w:pStyle w:val="Inciso"/>
      </w:pPr>
      <w:r>
        <w:t>Possibilitar a gestão centralizada do portfolio de projetos de TI do M</w:t>
      </w:r>
      <w:r w:rsidR="007A596A">
        <w:t>in</w:t>
      </w:r>
      <w:r>
        <w:t>C.</w:t>
      </w:r>
      <w:bookmarkStart w:id="0" w:name="_Toc307592957"/>
    </w:p>
    <w:p w:rsidR="009A08BC" w:rsidRPr="009A08BC" w:rsidRDefault="00B37154" w:rsidP="00256C19">
      <w:pPr>
        <w:pStyle w:val="Artigo"/>
      </w:pPr>
      <w:r>
        <w:t xml:space="preserve">  </w:t>
      </w:r>
      <w:r w:rsidR="009A08BC" w:rsidRPr="009A08BC">
        <w:t>Esta norma é aderente a MGP-SISP e pode ser adotada em conjunto com a mesma para um melhor acompanhamento das fases do ciclo de vida d</w:t>
      </w:r>
      <w:r w:rsidR="001C223C">
        <w:t>o projeto</w:t>
      </w:r>
      <w:r w:rsidR="009A08BC" w:rsidRPr="009A08BC">
        <w:t>.</w:t>
      </w:r>
    </w:p>
    <w:p w:rsidR="009A08BC" w:rsidRPr="009A08BC" w:rsidRDefault="00B37154" w:rsidP="00256C19">
      <w:pPr>
        <w:pStyle w:val="Artigo"/>
      </w:pPr>
      <w:r>
        <w:lastRenderedPageBreak/>
        <w:t xml:space="preserve">  </w:t>
      </w:r>
      <w:r w:rsidR="009A08BC" w:rsidRPr="009A08BC">
        <w:t xml:space="preserve">O Comitê </w:t>
      </w:r>
      <w:r w:rsidR="007A596A">
        <w:t xml:space="preserve">Estratégico </w:t>
      </w:r>
      <w:r w:rsidR="009A08BC" w:rsidRPr="009A08BC">
        <w:t xml:space="preserve">de Tecnologia da Informação </w:t>
      </w:r>
      <w:r w:rsidR="001C223C" w:rsidRPr="00A17847">
        <w:t>(C</w:t>
      </w:r>
      <w:r w:rsidR="007A596A">
        <w:t>E</w:t>
      </w:r>
      <w:r w:rsidR="001C223C" w:rsidRPr="00A17847">
        <w:t>TI)</w:t>
      </w:r>
      <w:r w:rsidR="001C223C" w:rsidRPr="0036505A">
        <w:rPr>
          <w:color w:val="FF0000"/>
        </w:rPr>
        <w:t xml:space="preserve"> </w:t>
      </w:r>
      <w:r w:rsidR="009A08BC" w:rsidRPr="009A08BC">
        <w:t xml:space="preserve">do Ministério da </w:t>
      </w:r>
      <w:r w:rsidR="007A596A">
        <w:t>Cultura</w:t>
      </w:r>
      <w:r w:rsidR="009A08BC" w:rsidRPr="009A08BC">
        <w:t xml:space="preserve"> poderá, a qualquer momento, segundo o que for julgado como conveniente, alterar esta Norma no todo ou em parte.</w:t>
      </w:r>
    </w:p>
    <w:p w:rsidR="00FB5FBF" w:rsidRPr="009A08BC" w:rsidRDefault="00B37154" w:rsidP="00256C19">
      <w:pPr>
        <w:pStyle w:val="Artigo"/>
      </w:pPr>
      <w:r>
        <w:t xml:space="preserve">  </w:t>
      </w:r>
      <w:r w:rsidR="00FB5FBF" w:rsidRPr="009A08BC">
        <w:t xml:space="preserve">A </w:t>
      </w:r>
      <w:r w:rsidR="001C223C">
        <w:t>Coordenação-Geral de Tecnologia da Informação (CGTI)</w:t>
      </w:r>
      <w:r w:rsidR="00DF7669">
        <w:t xml:space="preserve"> realizará o gerenciamento </w:t>
      </w:r>
      <w:r w:rsidR="00DF7669" w:rsidRPr="009A08BC">
        <w:t>d</w:t>
      </w:r>
      <w:r w:rsidR="00DF7669">
        <w:t>os</w:t>
      </w:r>
      <w:r w:rsidR="00DF7669" w:rsidRPr="009A08BC">
        <w:t xml:space="preserve"> </w:t>
      </w:r>
      <w:r w:rsidR="00FB5FBF" w:rsidRPr="009A08BC">
        <w:t xml:space="preserve">projetos </w:t>
      </w:r>
      <w:r w:rsidR="00DF7669">
        <w:t xml:space="preserve">executados sob sua responsabilidade e auxiliará </w:t>
      </w:r>
      <w:r w:rsidR="00FB5FBF" w:rsidRPr="009A08BC">
        <w:t xml:space="preserve">as demais áreas </w:t>
      </w:r>
      <w:r w:rsidR="00DF7669">
        <w:t>do M</w:t>
      </w:r>
      <w:r w:rsidR="007A596A">
        <w:t>in</w:t>
      </w:r>
      <w:r w:rsidR="00DF7669">
        <w:t xml:space="preserve">C </w:t>
      </w:r>
      <w:r w:rsidR="00DF7669" w:rsidRPr="009A08BC">
        <w:t>no uso da metodologia</w:t>
      </w:r>
      <w:r w:rsidR="00DF7669">
        <w:t xml:space="preserve"> para </w:t>
      </w:r>
      <w:r w:rsidR="00FB5FBF" w:rsidRPr="009A08BC">
        <w:t xml:space="preserve">projetos de </w:t>
      </w:r>
      <w:r w:rsidR="00DF7669">
        <w:t>TI executados fora da estrutura da CGTI</w:t>
      </w:r>
      <w:r w:rsidR="00FB5FBF" w:rsidRPr="009A08BC">
        <w:t>.</w:t>
      </w:r>
    </w:p>
    <w:p w:rsidR="00B21514" w:rsidRDefault="001A39CB" w:rsidP="00256C19">
      <w:pPr>
        <w:pStyle w:val="Captulo"/>
      </w:pPr>
      <w:r>
        <w:t xml:space="preserve">Capítulo II </w:t>
      </w:r>
    </w:p>
    <w:p w:rsidR="00224F90" w:rsidRPr="00107AF5" w:rsidRDefault="00224F90" w:rsidP="00256C19">
      <w:pPr>
        <w:pStyle w:val="Captulo"/>
      </w:pPr>
      <w:r w:rsidRPr="00107AF5">
        <w:t xml:space="preserve">Das </w:t>
      </w:r>
      <w:r w:rsidR="005F6EA9" w:rsidRPr="00107AF5">
        <w:t>D</w:t>
      </w:r>
      <w:r w:rsidRPr="00107AF5">
        <w:t>iretrizes</w:t>
      </w:r>
      <w:bookmarkEnd w:id="0"/>
      <w:r w:rsidRPr="00107AF5">
        <w:t xml:space="preserve"> </w:t>
      </w:r>
      <w:r w:rsidR="005F6EA9" w:rsidRPr="00107AF5">
        <w:t>G</w:t>
      </w:r>
      <w:r w:rsidRPr="00107AF5">
        <w:t>erais</w:t>
      </w:r>
    </w:p>
    <w:p w:rsidR="001A39CB" w:rsidRDefault="00B37154" w:rsidP="00256C19">
      <w:pPr>
        <w:pStyle w:val="Artigo"/>
      </w:pPr>
      <w:r>
        <w:t xml:space="preserve">  </w:t>
      </w:r>
      <w:r w:rsidR="001A39CB" w:rsidRPr="001A39CB">
        <w:t>A base conceitual da MGP-TI envolve práticas de gerenciamento de projetos consolidadas, como o Cobit 4.1 (PO 10</w:t>
      </w:r>
      <w:proofErr w:type="gramStart"/>
      <w:r w:rsidR="001A39CB" w:rsidRPr="001A39CB">
        <w:t>),  PMBoK</w:t>
      </w:r>
      <w:proofErr w:type="gramEnd"/>
      <w:r w:rsidR="001A39CB" w:rsidRPr="001A39CB">
        <w:t xml:space="preserve"> – </w:t>
      </w:r>
      <w:r w:rsidR="001A39CB">
        <w:t>4a Edição e PRINCE2. A MGP-TI</w:t>
      </w:r>
      <w:r w:rsidR="001A39CB" w:rsidRPr="001A39CB">
        <w:t xml:space="preserve"> faz referência à Metodologia de Gerenciamento de Projetos do SISP (MGP-SISP), mantida pela Secretaria de Logística e Tecnologia da Informação (SLTI/MP), que consiste em um conjunto de boas práticas em gerenciamento de projetos voltada para órgãos da administração pública. Com base nestas referências, a MGP-TI foi adaptada levando em consideração as características das áreas de TI do </w:t>
      </w:r>
      <w:r w:rsidR="001A39CB">
        <w:t>M</w:t>
      </w:r>
      <w:r w:rsidR="007A596A">
        <w:t>in</w:t>
      </w:r>
      <w:r w:rsidR="001A39CB">
        <w:t>C</w:t>
      </w:r>
      <w:r w:rsidR="00C14238">
        <w:t>.</w:t>
      </w:r>
    </w:p>
    <w:p w:rsidR="00924ADF" w:rsidRDefault="00B37154" w:rsidP="00924ADF">
      <w:pPr>
        <w:pStyle w:val="Artigo"/>
      </w:pPr>
      <w:r>
        <w:t xml:space="preserve">  </w:t>
      </w:r>
      <w:r w:rsidR="00055C79">
        <w:t>A MGP-TI</w:t>
      </w:r>
      <w:r w:rsidR="00924ADF">
        <w:t xml:space="preserve"> descreve o processo de gerenciamento de projetos a partir das seguintes diretrizes e premissas:</w:t>
      </w:r>
    </w:p>
    <w:p w:rsidR="00924ADF" w:rsidRDefault="00156099" w:rsidP="00256C19">
      <w:pPr>
        <w:pStyle w:val="Inciso"/>
      </w:pPr>
      <w:r>
        <w:t xml:space="preserve">Documentação </w:t>
      </w:r>
      <w:r w:rsidR="00924ADF">
        <w:t>mínima necessária: o processo de gerenciamento deve exigir apenas a documentação essencial para uma boa gestão do projeto e para a qualidade do produto final, de acordo com as características de cada unidade do M</w:t>
      </w:r>
      <w:r w:rsidR="007A596A">
        <w:t>in</w:t>
      </w:r>
      <w:r w:rsidR="00055C79">
        <w:t>C</w:t>
      </w:r>
      <w:r w:rsidR="00924ADF">
        <w:t>;</w:t>
      </w:r>
    </w:p>
    <w:p w:rsidR="00924ADF" w:rsidRDefault="00156099" w:rsidP="00256C19">
      <w:pPr>
        <w:pStyle w:val="Inciso"/>
      </w:pPr>
      <w:r>
        <w:t xml:space="preserve">Comunicação </w:t>
      </w:r>
      <w:r w:rsidR="00924ADF">
        <w:t xml:space="preserve">transparente: 90% do esforço do </w:t>
      </w:r>
      <w:r>
        <w:t xml:space="preserve">líder </w:t>
      </w:r>
      <w:r w:rsidR="00924ADF">
        <w:t xml:space="preserve">de projetos é despendido em comunicação. Neste contexto, atuando como integrador das atividades do projeto, a comunicação com os principais envolvidos no projeto deve ser direta, clara e transparente. A documentação produzida pelo </w:t>
      </w:r>
      <w:r>
        <w:t xml:space="preserve">líder </w:t>
      </w:r>
      <w:r w:rsidR="00924ADF">
        <w:t xml:space="preserve">de projetos deve servir de apoio para comunicar a situação do projeto e viabilizar a tomada de decisões. O nível de formalismo aplicado deve seguir as determinações de cada unidade do </w:t>
      </w:r>
      <w:r w:rsidR="00055C79">
        <w:t>M</w:t>
      </w:r>
      <w:r w:rsidR="007A596A">
        <w:t>in</w:t>
      </w:r>
      <w:r w:rsidR="00055C79">
        <w:t>C</w:t>
      </w:r>
      <w:r w:rsidR="00924ADF">
        <w:t>;</w:t>
      </w:r>
    </w:p>
    <w:p w:rsidR="00924ADF" w:rsidRDefault="00156099" w:rsidP="00256C19">
      <w:pPr>
        <w:pStyle w:val="Inciso"/>
      </w:pPr>
      <w:r>
        <w:t xml:space="preserve">Atribuições </w:t>
      </w:r>
      <w:r w:rsidR="00924ADF">
        <w:t xml:space="preserve">claras e compartilhamento de responsabilidades: o processo deve identificar os principais interessados que assumem papéis no projeto, de acordo com as suas atribuições e níveis de autoridade. Estes interessados serão envolvidos em </w:t>
      </w:r>
      <w:r>
        <w:t xml:space="preserve">reuniões </w:t>
      </w:r>
      <w:r w:rsidR="00924ADF">
        <w:t>de decisão colegiada durante o ciclo de vida do projeto;</w:t>
      </w:r>
    </w:p>
    <w:p w:rsidR="00924ADF" w:rsidRDefault="00156099" w:rsidP="00256C19">
      <w:pPr>
        <w:pStyle w:val="Inciso"/>
      </w:pPr>
      <w:r>
        <w:t xml:space="preserve">Processo </w:t>
      </w:r>
      <w:r w:rsidR="00924ADF">
        <w:t xml:space="preserve">flexível: as fases do ciclo de vida, </w:t>
      </w:r>
      <w:r w:rsidR="005E296B">
        <w:t>as reuniões de decisão</w:t>
      </w:r>
      <w:r w:rsidR="00924ADF">
        <w:t xml:space="preserve"> e o processo de gerenciamento de projetos </w:t>
      </w:r>
      <w:r>
        <w:t xml:space="preserve">de tecnologia da informação </w:t>
      </w:r>
      <w:r w:rsidR="00924ADF">
        <w:t>devem ser adaptáveis para atender as diferentes unidades do M</w:t>
      </w:r>
      <w:r w:rsidR="007A596A">
        <w:t>in</w:t>
      </w:r>
      <w:r w:rsidR="00055C79">
        <w:t>C</w:t>
      </w:r>
      <w:r w:rsidR="00924ADF">
        <w:t>, áreas de conhecimento, contextos e características esp</w:t>
      </w:r>
      <w:r w:rsidR="00055C79">
        <w:t>ecíficas dos projetos. A MGP-TI</w:t>
      </w:r>
      <w:r w:rsidR="00924ADF">
        <w:t xml:space="preserve"> define como obrigatório o mínimo necessário para padronizar o processo de gestão entre as unidades do </w:t>
      </w:r>
      <w:r>
        <w:t>M</w:t>
      </w:r>
      <w:r w:rsidR="007A596A">
        <w:t>in</w:t>
      </w:r>
      <w:r>
        <w:t xml:space="preserve">C </w:t>
      </w:r>
      <w:r w:rsidR="00924ADF">
        <w:t>e sugere práticas que podem ser adotadas a critério de cada unidade</w:t>
      </w:r>
      <w:r w:rsidR="00B319F4">
        <w:t xml:space="preserve">. Exemplos de adaptações </w:t>
      </w:r>
      <w:r>
        <w:t xml:space="preserve">possíveis </w:t>
      </w:r>
      <w:r w:rsidR="00B319F4">
        <w:t>no processo da MGP-TI são descritas no ANEXO I desta norma</w:t>
      </w:r>
      <w:r w:rsidR="00924ADF">
        <w:t>; e</w:t>
      </w:r>
    </w:p>
    <w:p w:rsidR="00924ADF" w:rsidRDefault="00156099" w:rsidP="00256C19">
      <w:pPr>
        <w:pStyle w:val="Inciso"/>
      </w:pPr>
      <w:r>
        <w:t xml:space="preserve">Informação </w:t>
      </w:r>
      <w:r w:rsidR="00055C79">
        <w:t>documentada: a MGP-TI</w:t>
      </w:r>
      <w:r w:rsidR="00924ADF">
        <w:t xml:space="preserve"> concentra-se no conteúdo das informações produzidas no processo de gerenciamento de projetos</w:t>
      </w:r>
      <w:r>
        <w:t xml:space="preserve"> de tecnologia da informação</w:t>
      </w:r>
      <w:r w:rsidR="00924ADF">
        <w:t>. Sendo assim, os formatos dos documentos apresentados nesta metodologia são apenas sugeridos.</w:t>
      </w:r>
    </w:p>
    <w:p w:rsidR="00B21514" w:rsidRDefault="00117CA1" w:rsidP="00256C19">
      <w:pPr>
        <w:pStyle w:val="Captulo"/>
      </w:pPr>
      <w:r>
        <w:t xml:space="preserve">Capítulo III </w:t>
      </w:r>
    </w:p>
    <w:p w:rsidR="00117CA1" w:rsidRPr="008E6143" w:rsidRDefault="00117CA1" w:rsidP="00256C19">
      <w:pPr>
        <w:pStyle w:val="Captulo"/>
      </w:pPr>
      <w:r w:rsidRPr="008E6143">
        <w:t>DAS DEFINIÇÕES</w:t>
      </w:r>
    </w:p>
    <w:p w:rsidR="00117CA1" w:rsidRDefault="00D77C20" w:rsidP="00950333">
      <w:pPr>
        <w:pStyle w:val="Artigo"/>
        <w:numPr>
          <w:ilvl w:val="0"/>
          <w:numId w:val="0"/>
        </w:numPr>
        <w:ind w:left="1418"/>
      </w:pPr>
      <w:r>
        <w:t>Art. 10</w:t>
      </w:r>
      <w:r w:rsidR="00DC2CFA">
        <w:t>.</w:t>
      </w:r>
      <w:r>
        <w:t xml:space="preserve">  </w:t>
      </w:r>
      <w:r w:rsidR="00117CA1">
        <w:t>A MGP-TI define os seguintes conceitos:</w:t>
      </w:r>
    </w:p>
    <w:p w:rsidR="00117CA1" w:rsidRDefault="00D77C20" w:rsidP="00950333">
      <w:pPr>
        <w:pStyle w:val="Inciso"/>
        <w:numPr>
          <w:ilvl w:val="0"/>
          <w:numId w:val="0"/>
        </w:numPr>
      </w:pPr>
      <w:r>
        <w:rPr>
          <w:rFonts w:ascii="TimesNewRomanPSMT" w:hAnsi="TimesNewRomanPSMT"/>
        </w:rPr>
        <w:lastRenderedPageBreak/>
        <w:t xml:space="preserve">I - </w:t>
      </w:r>
      <w:r w:rsidR="00117CA1">
        <w:rPr>
          <w:rFonts w:ascii="TimesNewRomanPSMT" w:hAnsi="TimesNewRomanPSMT"/>
        </w:rPr>
        <w:t>Reuniões de decisão: s</w:t>
      </w:r>
      <w:r w:rsidR="00117CA1">
        <w:t>ão reuniões de avaliação da situação do projeto e da sua capacidade de avançar para a próxima fase. Além de reuniões para revisão do projeto, apresentação de relatórios de acompanhamento e atualização de informação, as reuniões de decisão são momentos em que são tomadas decisões de prosseguir, suspender, cancelar ou priorizar o projeto. Esta análise deve basear-se em critérios claros e objetivos que subsidiem a tomada de decisão pelo Comitê Gestor do Projeto (CGP).</w:t>
      </w:r>
    </w:p>
    <w:p w:rsidR="00B21514" w:rsidRDefault="00117CA1" w:rsidP="00256C19">
      <w:pPr>
        <w:pStyle w:val="Captulo"/>
      </w:pPr>
      <w:r>
        <w:t xml:space="preserve">Capítulo IV </w:t>
      </w:r>
    </w:p>
    <w:p w:rsidR="00117CA1" w:rsidRPr="008E6143" w:rsidRDefault="00117CA1" w:rsidP="00256C19">
      <w:pPr>
        <w:pStyle w:val="Captulo"/>
      </w:pPr>
      <w:r w:rsidRPr="008E6143">
        <w:t>DOS PAPÉIS E ATRIBUIÇÕES</w:t>
      </w:r>
    </w:p>
    <w:p w:rsidR="00117CA1" w:rsidRDefault="00D77C20" w:rsidP="00950333">
      <w:pPr>
        <w:pStyle w:val="Artigo"/>
        <w:numPr>
          <w:ilvl w:val="0"/>
          <w:numId w:val="0"/>
        </w:numPr>
        <w:ind w:left="1418"/>
      </w:pPr>
      <w:r>
        <w:t xml:space="preserve">Art. 11.  </w:t>
      </w:r>
      <w:r w:rsidR="00117CA1">
        <w:t>Do Escritório de Projetos</w:t>
      </w:r>
      <w:r w:rsidR="000D6463">
        <w:t xml:space="preserve"> de TI</w:t>
      </w:r>
      <w:r w:rsidR="00117CA1">
        <w:t>:</w:t>
      </w:r>
    </w:p>
    <w:p w:rsidR="00117CA1" w:rsidRDefault="00117CA1" w:rsidP="00256C19">
      <w:pPr>
        <w:pStyle w:val="Pargrafo"/>
        <w:numPr>
          <w:ilvl w:val="0"/>
          <w:numId w:val="0"/>
        </w:numPr>
      </w:pPr>
      <w:r>
        <w:t>O Escritório de Projetos</w:t>
      </w:r>
      <w:r w:rsidR="000D6463">
        <w:t xml:space="preserve"> de TI</w:t>
      </w:r>
      <w:r>
        <w:t xml:space="preserve"> possui as seguintes atribuições:</w:t>
      </w:r>
    </w:p>
    <w:p w:rsidR="00117CA1" w:rsidRPr="000312E2" w:rsidRDefault="00D77C20" w:rsidP="00950333">
      <w:pPr>
        <w:pStyle w:val="Inciso"/>
        <w:numPr>
          <w:ilvl w:val="0"/>
          <w:numId w:val="0"/>
        </w:numPr>
        <w:ind w:left="426"/>
      </w:pPr>
      <w:r>
        <w:t xml:space="preserve">I - </w:t>
      </w:r>
      <w:r w:rsidR="00117CA1" w:rsidRPr="0064562F">
        <w:t xml:space="preserve">Definir, disseminar e manter a MGP-TI </w:t>
      </w:r>
      <w:r w:rsidR="0036505A">
        <w:t xml:space="preserve">no </w:t>
      </w:r>
      <w:r w:rsidR="00117CA1" w:rsidRPr="0064562F">
        <w:t>M</w:t>
      </w:r>
      <w:r w:rsidR="007A596A">
        <w:t>in</w:t>
      </w:r>
      <w:r w:rsidR="00117CA1" w:rsidRPr="0064562F">
        <w:t>C;</w:t>
      </w:r>
    </w:p>
    <w:p w:rsidR="00117CA1" w:rsidRPr="00256C19" w:rsidRDefault="00D77C20" w:rsidP="00950333">
      <w:pPr>
        <w:pStyle w:val="Inciso"/>
        <w:numPr>
          <w:ilvl w:val="0"/>
          <w:numId w:val="0"/>
        </w:numPr>
        <w:ind w:left="426"/>
      </w:pPr>
      <w:r>
        <w:t xml:space="preserve">II - </w:t>
      </w:r>
      <w:r w:rsidR="00117CA1" w:rsidRPr="00256C19">
        <w:t>Consolidar e comunicar o portfolio de projetos estratégicos do M</w:t>
      </w:r>
      <w:r w:rsidR="007A596A">
        <w:t>in</w:t>
      </w:r>
      <w:r w:rsidR="00117CA1" w:rsidRPr="00256C19">
        <w:t>C;</w:t>
      </w:r>
    </w:p>
    <w:p w:rsidR="00117CA1" w:rsidRPr="00256C19" w:rsidRDefault="00D77C20" w:rsidP="00950333">
      <w:pPr>
        <w:pStyle w:val="Inciso"/>
        <w:numPr>
          <w:ilvl w:val="0"/>
          <w:numId w:val="0"/>
        </w:numPr>
        <w:ind w:left="426"/>
      </w:pPr>
      <w:r>
        <w:t xml:space="preserve">III - </w:t>
      </w:r>
      <w:r w:rsidR="00117CA1" w:rsidRPr="00256C19">
        <w:t>Apoiar a CGTI na seleção e priorização dos projetos do portfolio;</w:t>
      </w:r>
    </w:p>
    <w:p w:rsidR="00117CA1" w:rsidRPr="0064562F" w:rsidRDefault="00D77C20" w:rsidP="00950333">
      <w:pPr>
        <w:pStyle w:val="Inciso"/>
        <w:numPr>
          <w:ilvl w:val="0"/>
          <w:numId w:val="0"/>
        </w:numPr>
        <w:ind w:left="426"/>
      </w:pPr>
      <w:r>
        <w:t xml:space="preserve">IV - </w:t>
      </w:r>
      <w:r w:rsidR="00117CA1" w:rsidRPr="00256C19">
        <w:t>Garantir o alinhamento do portfolio de projetos de TI aos objetivos estratégicos do M</w:t>
      </w:r>
      <w:r w:rsidR="007A596A">
        <w:t>in</w:t>
      </w:r>
      <w:r w:rsidR="00117CA1" w:rsidRPr="00256C19">
        <w:t>C</w:t>
      </w:r>
      <w:r w:rsidR="00117CA1">
        <w:t>,</w:t>
      </w:r>
      <w:r w:rsidR="00117CA1" w:rsidRPr="0064562F">
        <w:t xml:space="preserve"> e</w:t>
      </w:r>
      <w:r w:rsidR="00117CA1">
        <w:t>;</w:t>
      </w:r>
    </w:p>
    <w:p w:rsidR="00117CA1" w:rsidRPr="00256C19" w:rsidRDefault="00D77C20" w:rsidP="00950333">
      <w:pPr>
        <w:pStyle w:val="Inciso"/>
        <w:numPr>
          <w:ilvl w:val="0"/>
          <w:numId w:val="0"/>
        </w:numPr>
        <w:ind w:left="426"/>
      </w:pPr>
      <w:r>
        <w:t xml:space="preserve">V - </w:t>
      </w:r>
      <w:r w:rsidR="00117CA1" w:rsidRPr="000312E2">
        <w:t xml:space="preserve">Ter representação nos CGP visando apoiar e monitorar a eficácia da </w:t>
      </w:r>
      <w:r w:rsidR="00117CA1" w:rsidRPr="00256C19">
        <w:t>metodologia.</w:t>
      </w:r>
    </w:p>
    <w:p w:rsidR="00117CA1" w:rsidRDefault="00D77C20" w:rsidP="00950333">
      <w:pPr>
        <w:pStyle w:val="Artigo"/>
        <w:numPr>
          <w:ilvl w:val="0"/>
          <w:numId w:val="0"/>
        </w:numPr>
        <w:ind w:left="1418"/>
      </w:pPr>
      <w:r>
        <w:t>Art. 12</w:t>
      </w:r>
      <w:r w:rsidR="00DC2CFA">
        <w:t>.</w:t>
      </w:r>
      <w:r>
        <w:t xml:space="preserve">  </w:t>
      </w:r>
      <w:r w:rsidR="00117CA1">
        <w:t>Do Líder de Projetos:</w:t>
      </w:r>
    </w:p>
    <w:p w:rsidR="00117CA1" w:rsidRDefault="00DC2CFA" w:rsidP="00950333">
      <w:pPr>
        <w:pStyle w:val="Pargrafo"/>
        <w:numPr>
          <w:ilvl w:val="0"/>
          <w:numId w:val="0"/>
        </w:numPr>
      </w:pPr>
      <w:r>
        <w:t>§ 1º</w:t>
      </w:r>
      <w:r w:rsidR="006A5408">
        <w:t xml:space="preserve"> </w:t>
      </w:r>
      <w:r w:rsidR="00117CA1">
        <w:t xml:space="preserve">O Líder de projetos é o profissional designado formalmente na Decisão de </w:t>
      </w:r>
      <w:r w:rsidR="0047237D">
        <w:t>Abertura do Projeto</w:t>
      </w:r>
      <w:r w:rsidR="00117CA1">
        <w:t xml:space="preserve"> (</w:t>
      </w:r>
      <w:r w:rsidR="0047237D">
        <w:t>DAP</w:t>
      </w:r>
      <w:r w:rsidR="00117CA1">
        <w:t>), responsável por garantir que os objetivos do projeto sejam cumpridos.</w:t>
      </w:r>
    </w:p>
    <w:p w:rsidR="00117CA1" w:rsidRDefault="00117CA1" w:rsidP="00256C19">
      <w:pPr>
        <w:pStyle w:val="Pargrafo"/>
      </w:pPr>
      <w:r>
        <w:t>O Líder de Projetos possui as seguintes atribuições:</w:t>
      </w:r>
    </w:p>
    <w:p w:rsidR="00117CA1" w:rsidRDefault="00117CA1" w:rsidP="00256C19">
      <w:pPr>
        <w:pStyle w:val="Inciso"/>
      </w:pPr>
      <w:proofErr w:type="gramStart"/>
      <w:r>
        <w:t>planejar</w:t>
      </w:r>
      <w:proofErr w:type="gramEnd"/>
      <w:r>
        <w:t xml:space="preserve"> o projeto;</w:t>
      </w:r>
    </w:p>
    <w:p w:rsidR="00117CA1" w:rsidRDefault="00117CA1" w:rsidP="00256C19">
      <w:pPr>
        <w:pStyle w:val="Inciso"/>
      </w:pPr>
      <w:proofErr w:type="gramStart"/>
      <w:r>
        <w:t>buscar</w:t>
      </w:r>
      <w:proofErr w:type="gramEnd"/>
      <w:r>
        <w:t xml:space="preserve"> os recursos necessários para a execução do projeto;</w:t>
      </w:r>
    </w:p>
    <w:p w:rsidR="00117CA1" w:rsidRDefault="00117CA1" w:rsidP="00256C19">
      <w:pPr>
        <w:pStyle w:val="Inciso"/>
      </w:pPr>
      <w:proofErr w:type="gramStart"/>
      <w:r>
        <w:t>atribuir</w:t>
      </w:r>
      <w:proofErr w:type="gramEnd"/>
      <w:r>
        <w:t xml:space="preserve"> as atividades;</w:t>
      </w:r>
    </w:p>
    <w:p w:rsidR="00117CA1" w:rsidRDefault="00117CA1" w:rsidP="00256C19">
      <w:pPr>
        <w:pStyle w:val="Inciso"/>
      </w:pPr>
      <w:proofErr w:type="gramStart"/>
      <w:r>
        <w:t>orientar</w:t>
      </w:r>
      <w:proofErr w:type="gramEnd"/>
      <w:r>
        <w:t xml:space="preserve"> e acompanhar a execução das atividades;</w:t>
      </w:r>
    </w:p>
    <w:p w:rsidR="00117CA1" w:rsidRDefault="00117CA1" w:rsidP="00256C19">
      <w:pPr>
        <w:pStyle w:val="Inciso"/>
      </w:pPr>
      <w:proofErr w:type="gramStart"/>
      <w:r>
        <w:t>comunicar</w:t>
      </w:r>
      <w:proofErr w:type="gramEnd"/>
      <w:r>
        <w:t xml:space="preserve"> o andamento do projeto aos interessados; e</w:t>
      </w:r>
    </w:p>
    <w:p w:rsidR="00117CA1" w:rsidRDefault="00117CA1" w:rsidP="00256C19">
      <w:pPr>
        <w:pStyle w:val="Inciso"/>
        <w:rPr>
          <w:shd w:val="clear" w:color="auto" w:fill="FFFF00"/>
        </w:rPr>
      </w:pPr>
      <w:proofErr w:type="gramStart"/>
      <w:r>
        <w:t>preparar</w:t>
      </w:r>
      <w:proofErr w:type="gramEnd"/>
      <w:r>
        <w:t xml:space="preserve"> e conduzir </w:t>
      </w:r>
      <w:r w:rsidR="0047237D">
        <w:t xml:space="preserve">as Reuniões </w:t>
      </w:r>
      <w:r>
        <w:t>de Decisão.</w:t>
      </w:r>
    </w:p>
    <w:p w:rsidR="00117CA1" w:rsidRDefault="00DC2CFA" w:rsidP="00950333">
      <w:pPr>
        <w:pStyle w:val="Artigo"/>
        <w:numPr>
          <w:ilvl w:val="0"/>
          <w:numId w:val="0"/>
        </w:numPr>
        <w:ind w:left="1418"/>
      </w:pPr>
      <w:r>
        <w:t xml:space="preserve">Art. 13.  </w:t>
      </w:r>
      <w:r w:rsidR="00117CA1">
        <w:t>Da Equipe do Projeto:</w:t>
      </w:r>
    </w:p>
    <w:p w:rsidR="00117CA1" w:rsidRDefault="00117CA1" w:rsidP="00950333">
      <w:pPr>
        <w:pStyle w:val="Pargrafo"/>
        <w:numPr>
          <w:ilvl w:val="1"/>
          <w:numId w:val="46"/>
        </w:numPr>
        <w:ind w:left="0" w:firstLine="0"/>
      </w:pPr>
      <w:r>
        <w:t>A equipe do projeto é composta por profissionais que assumem papéis de acordo com a área de conhecimento, o escopo e a fase do ciclo de vida em que se encontra o projeto.</w:t>
      </w:r>
    </w:p>
    <w:p w:rsidR="00117CA1" w:rsidRDefault="00117CA1" w:rsidP="00256C19">
      <w:pPr>
        <w:pStyle w:val="Pargrafo"/>
      </w:pPr>
      <w:r>
        <w:t>A equipe do projeto possui as seguintes atribuições:</w:t>
      </w:r>
    </w:p>
    <w:p w:rsidR="00117CA1" w:rsidRDefault="00156099" w:rsidP="00256C19">
      <w:pPr>
        <w:pStyle w:val="Inciso"/>
      </w:pPr>
      <w:r>
        <w:t xml:space="preserve">Executar </w:t>
      </w:r>
      <w:r w:rsidR="00117CA1">
        <w:t xml:space="preserve">as atividades definidas no </w:t>
      </w:r>
      <w:r w:rsidR="001E7613">
        <w:t xml:space="preserve">planejamento </w:t>
      </w:r>
      <w:r w:rsidR="00117CA1">
        <w:t>do projeto; e</w:t>
      </w:r>
    </w:p>
    <w:p w:rsidR="00117CA1" w:rsidRDefault="00156099" w:rsidP="00256C19">
      <w:pPr>
        <w:pStyle w:val="Inciso"/>
      </w:pPr>
      <w:r>
        <w:t xml:space="preserve">Subsidiar </w:t>
      </w:r>
      <w:r w:rsidR="00117CA1">
        <w:t xml:space="preserve">o </w:t>
      </w:r>
      <w:r>
        <w:t xml:space="preserve">líder </w:t>
      </w:r>
      <w:r w:rsidR="00117CA1">
        <w:t>de projetos com informações a respeito do desempenho de suas atividades.</w:t>
      </w:r>
    </w:p>
    <w:p w:rsidR="00117CA1" w:rsidRPr="008E6143" w:rsidRDefault="00DC2CFA" w:rsidP="00950333">
      <w:pPr>
        <w:pStyle w:val="Artigo"/>
        <w:numPr>
          <w:ilvl w:val="0"/>
          <w:numId w:val="0"/>
        </w:numPr>
        <w:ind w:left="1418"/>
      </w:pPr>
      <w:r>
        <w:t xml:space="preserve">Art. 14.  </w:t>
      </w:r>
      <w:r w:rsidR="00117CA1">
        <w:t xml:space="preserve">Dos </w:t>
      </w:r>
      <w:r w:rsidR="00117CA1" w:rsidRPr="008E6143">
        <w:t>Usuários-chave:</w:t>
      </w:r>
    </w:p>
    <w:p w:rsidR="001E7613" w:rsidRDefault="00117CA1" w:rsidP="00950333">
      <w:pPr>
        <w:pStyle w:val="Pargrafo"/>
        <w:numPr>
          <w:ilvl w:val="1"/>
          <w:numId w:val="47"/>
        </w:numPr>
        <w:ind w:left="0" w:firstLine="0"/>
      </w:pPr>
      <w:r>
        <w:lastRenderedPageBreak/>
        <w:t xml:space="preserve">Os usuários-chave são representantes das áreas demandantes </w:t>
      </w:r>
      <w:r w:rsidR="001E7613">
        <w:t xml:space="preserve">do projeto e dos usuários finais </w:t>
      </w:r>
      <w:r>
        <w:t>d</w:t>
      </w:r>
      <w:r w:rsidR="001E7613">
        <w:t>a solução.</w:t>
      </w:r>
    </w:p>
    <w:p w:rsidR="00117CA1" w:rsidRDefault="001E7613" w:rsidP="00256C19">
      <w:pPr>
        <w:pStyle w:val="Pargrafo"/>
      </w:pPr>
      <w:r>
        <w:t xml:space="preserve">Os usuários-chave </w:t>
      </w:r>
      <w:r w:rsidR="00117CA1">
        <w:t>possuem as seguintes atribuições:</w:t>
      </w:r>
    </w:p>
    <w:p w:rsidR="00117CA1" w:rsidRDefault="000D6463" w:rsidP="00256C19">
      <w:pPr>
        <w:pStyle w:val="Inciso"/>
      </w:pPr>
      <w:r>
        <w:t xml:space="preserve">Definir </w:t>
      </w:r>
      <w:r w:rsidR="00117CA1">
        <w:t>o escopo e fornecer os requisitos que devem ser atendidos pelo projeto;</w:t>
      </w:r>
    </w:p>
    <w:p w:rsidR="00117CA1" w:rsidRDefault="000D6463" w:rsidP="00256C19">
      <w:pPr>
        <w:pStyle w:val="Inciso"/>
      </w:pPr>
      <w:r>
        <w:t xml:space="preserve">Estar </w:t>
      </w:r>
      <w:r w:rsidR="00117CA1">
        <w:t xml:space="preserve">disponível para prestar informações, participar de reuniões e dirimir </w:t>
      </w:r>
      <w:r w:rsidR="001E7613">
        <w:t>dúvidas sempre que necessário;</w:t>
      </w:r>
    </w:p>
    <w:p w:rsidR="00117CA1" w:rsidRDefault="000D6463" w:rsidP="00256C19">
      <w:pPr>
        <w:pStyle w:val="Inciso"/>
      </w:pPr>
      <w:r>
        <w:t xml:space="preserve">Validar </w:t>
      </w:r>
      <w:r w:rsidR="00117CA1">
        <w:t>os produtos entregues pelo projeto do ponto de vista d</w:t>
      </w:r>
      <w:r w:rsidR="001E7613">
        <w:t>o negócio, e;</w:t>
      </w:r>
    </w:p>
    <w:p w:rsidR="001E7613" w:rsidRPr="0064562F" w:rsidRDefault="000D6463" w:rsidP="00256C19">
      <w:pPr>
        <w:pStyle w:val="Inciso"/>
      </w:pPr>
      <w:r>
        <w:t>C</w:t>
      </w:r>
      <w:r w:rsidRPr="001E7613">
        <w:t xml:space="preserve">oordenar </w:t>
      </w:r>
      <w:r w:rsidR="001E7613" w:rsidRPr="001E7613">
        <w:t>as ações junto aos usuários finais (ex: treinamentos)</w:t>
      </w:r>
    </w:p>
    <w:p w:rsidR="00117CA1" w:rsidRDefault="00DC2CFA" w:rsidP="00950333">
      <w:pPr>
        <w:pStyle w:val="Artigo"/>
        <w:numPr>
          <w:ilvl w:val="0"/>
          <w:numId w:val="0"/>
        </w:numPr>
        <w:ind w:left="1418"/>
      </w:pPr>
      <w:r>
        <w:t xml:space="preserve">Art. 15.  </w:t>
      </w:r>
      <w:r w:rsidR="00117CA1">
        <w:t>Do Comitê Gestor do Projeto – CGP:</w:t>
      </w:r>
    </w:p>
    <w:p w:rsidR="00117CA1" w:rsidRDefault="00117CA1" w:rsidP="00950333">
      <w:pPr>
        <w:pStyle w:val="Pargrafo"/>
        <w:numPr>
          <w:ilvl w:val="1"/>
          <w:numId w:val="48"/>
        </w:numPr>
        <w:ind w:left="0" w:firstLine="0"/>
      </w:pPr>
      <w:r>
        <w:t>O CGP é um grupo constituído na Decisão de Abertura do Projeto (DAP), que envolve os interessados com posição de decisão a respeito do projeto. Os seguintes papéis devem ser representados no CGP:</w:t>
      </w:r>
    </w:p>
    <w:p w:rsidR="00117CA1" w:rsidRDefault="000D6463" w:rsidP="00256C19">
      <w:pPr>
        <w:pStyle w:val="Inciso"/>
      </w:pPr>
      <w:r>
        <w:t xml:space="preserve">Representante </w:t>
      </w:r>
      <w:r w:rsidR="00117CA1">
        <w:t xml:space="preserve">da área técnica responsável pela execução das atividades do projeto: participa </w:t>
      </w:r>
      <w:r>
        <w:t xml:space="preserve">das </w:t>
      </w:r>
      <w:r w:rsidR="0047237D">
        <w:t>reuniões de decisão</w:t>
      </w:r>
      <w:r w:rsidR="00117CA1">
        <w:t xml:space="preserve"> com o objetivo de se posicionar a respeito da viabilidade técnica da execução do projeto;</w:t>
      </w:r>
    </w:p>
    <w:p w:rsidR="00117CA1" w:rsidRDefault="00117CA1" w:rsidP="00256C19">
      <w:pPr>
        <w:pStyle w:val="Inciso"/>
      </w:pPr>
      <w:r>
        <w:t xml:space="preserve"> </w:t>
      </w:r>
      <w:r w:rsidR="000D6463">
        <w:t>Representante</w:t>
      </w:r>
      <w:r>
        <w:t xml:space="preserve">(s) da(s) área(s) demandante(s): participa </w:t>
      </w:r>
      <w:r w:rsidR="000D6463">
        <w:t xml:space="preserve">das </w:t>
      </w:r>
      <w:r w:rsidR="0047237D">
        <w:t>reuniões de decisão</w:t>
      </w:r>
      <w:r>
        <w:t xml:space="preserve"> com o objetivo de se posicionar a respeito dos benefícios de negócio esperados para o projeto;</w:t>
      </w:r>
    </w:p>
    <w:p w:rsidR="00117CA1" w:rsidRDefault="00117CA1" w:rsidP="00256C19">
      <w:pPr>
        <w:pStyle w:val="Inciso"/>
      </w:pPr>
      <w:r>
        <w:t xml:space="preserve"> </w:t>
      </w:r>
      <w:r w:rsidR="000D6463">
        <w:t xml:space="preserve">Representante </w:t>
      </w:r>
      <w:r>
        <w:t>do Escritório de Projetos</w:t>
      </w:r>
      <w:r w:rsidR="000D6463">
        <w:t xml:space="preserve"> de TI</w:t>
      </w:r>
      <w:r>
        <w:t xml:space="preserve">: participa </w:t>
      </w:r>
      <w:r w:rsidR="0036505A">
        <w:t xml:space="preserve">das </w:t>
      </w:r>
      <w:r w:rsidR="0047237D">
        <w:t>reuniões de decisão</w:t>
      </w:r>
      <w:r>
        <w:t xml:space="preserve"> com o objetivo de se posicionar a respeito da correta aplicação da MGP-TI e mediar eventuais conflitos; e</w:t>
      </w:r>
    </w:p>
    <w:p w:rsidR="00117CA1" w:rsidRDefault="000D6463" w:rsidP="00256C19">
      <w:pPr>
        <w:pStyle w:val="Inciso"/>
      </w:pPr>
      <w:r>
        <w:t xml:space="preserve">Outros </w:t>
      </w:r>
      <w:r w:rsidR="00117CA1">
        <w:t>envolvidos com posição de decisão.</w:t>
      </w:r>
    </w:p>
    <w:p w:rsidR="00117CA1" w:rsidRDefault="00117CA1" w:rsidP="00256C19">
      <w:pPr>
        <w:pStyle w:val="Pargrafo"/>
      </w:pPr>
      <w:r>
        <w:t>O CGP possui as seguintes atribuições:</w:t>
      </w:r>
    </w:p>
    <w:p w:rsidR="00117CA1" w:rsidRDefault="000D6463" w:rsidP="00256C19">
      <w:pPr>
        <w:pStyle w:val="Inciso"/>
      </w:pPr>
      <w:r>
        <w:t xml:space="preserve">Participar </w:t>
      </w:r>
      <w:r w:rsidR="00117CA1">
        <w:t xml:space="preserve">de </w:t>
      </w:r>
      <w:r>
        <w:t xml:space="preserve">todas as </w:t>
      </w:r>
      <w:r w:rsidR="0047237D">
        <w:t>reuniões de decisão</w:t>
      </w:r>
      <w:r w:rsidR="00117CA1">
        <w:t xml:space="preserve"> do projeto;</w:t>
      </w:r>
    </w:p>
    <w:p w:rsidR="00117CA1" w:rsidRDefault="000D6463" w:rsidP="00256C19">
      <w:pPr>
        <w:pStyle w:val="Inciso"/>
      </w:pPr>
      <w:r>
        <w:t xml:space="preserve">Aprovar </w:t>
      </w:r>
      <w:r w:rsidR="00117CA1">
        <w:t>as decis</w:t>
      </w:r>
      <w:r>
        <w:t>ões</w:t>
      </w:r>
      <w:r w:rsidR="00117CA1">
        <w:t xml:space="preserve"> do projeto: o CGP deve, a partir das informações apresentadas pelo </w:t>
      </w:r>
      <w:r>
        <w:t xml:space="preserve">líder </w:t>
      </w:r>
      <w:r w:rsidR="00117CA1">
        <w:t>do projeto, avaliar a situação do projeto e sua capacidade de avançar para a próxima fase do seu ciclo de vida. A avaliação dá-se de forma qualitativa, sempre medindo o benefício de prosseguir com o projeto em relação aos riscos apresentados;</w:t>
      </w:r>
    </w:p>
    <w:p w:rsidR="00117CA1" w:rsidRDefault="000D6463" w:rsidP="00256C19">
      <w:pPr>
        <w:pStyle w:val="Inciso"/>
      </w:pPr>
      <w:r>
        <w:t xml:space="preserve">Prover </w:t>
      </w:r>
      <w:r w:rsidR="00117CA1">
        <w:t xml:space="preserve">suporte para resolução de desvios: o CGP deve avaliar os desvios e as estratégias de resolução apresentadas pelo </w:t>
      </w:r>
      <w:r>
        <w:t xml:space="preserve">líder </w:t>
      </w:r>
      <w:r w:rsidR="00117CA1">
        <w:t xml:space="preserve">de projetos e prover suporte para a sua implementação, seja por meio de recursos humanos, financeiros ou da integração de áreas </w:t>
      </w:r>
      <w:r w:rsidR="00F043FA">
        <w:t>envolvidas</w:t>
      </w:r>
      <w:r w:rsidR="00117CA1">
        <w:t xml:space="preserve">, ou escalando os problemas para as instâncias superiores das entidades </w:t>
      </w:r>
      <w:r w:rsidR="00F043FA">
        <w:t>interessadas</w:t>
      </w:r>
      <w:r w:rsidR="00117CA1">
        <w:t>;</w:t>
      </w:r>
    </w:p>
    <w:p w:rsidR="00117CA1" w:rsidRDefault="000D6463" w:rsidP="00256C19">
      <w:pPr>
        <w:pStyle w:val="Inciso"/>
      </w:pPr>
      <w:r>
        <w:t xml:space="preserve">Aprovar </w:t>
      </w:r>
      <w:r w:rsidR="00117CA1">
        <w:t>mudanças nos compromissos do projeto: o CGP possui a autoridade de, a partir da avaliação dos impactos sobre o projeto, aprovar ou reprovar mudanças sugeridas, que podem envolver escopo, prazo, custos, alocação de recursos, entre outros aspectos do planejamento; e</w:t>
      </w:r>
    </w:p>
    <w:p w:rsidR="00117CA1" w:rsidRDefault="000D6463" w:rsidP="00256C19">
      <w:pPr>
        <w:pStyle w:val="Inciso"/>
      </w:pPr>
      <w:r>
        <w:t xml:space="preserve">Garantir </w:t>
      </w:r>
      <w:r w:rsidR="00117CA1">
        <w:t xml:space="preserve">a alocação dos recursos: o CGP deve se comprometer em alocar os recursos necessários para o projeto, conforme requisitados e acordados com o </w:t>
      </w:r>
      <w:r>
        <w:t xml:space="preserve">líder </w:t>
      </w:r>
      <w:r w:rsidR="00117CA1">
        <w:t>de projetos.</w:t>
      </w:r>
    </w:p>
    <w:p w:rsidR="00B21514" w:rsidRDefault="003E40B4" w:rsidP="00256C19">
      <w:pPr>
        <w:pStyle w:val="Captulo"/>
      </w:pPr>
      <w:r>
        <w:t xml:space="preserve">CAPÍTULO v </w:t>
      </w:r>
    </w:p>
    <w:p w:rsidR="00F043FA" w:rsidRDefault="00EA5057" w:rsidP="00256C19">
      <w:pPr>
        <w:pStyle w:val="Captulo"/>
      </w:pPr>
      <w:r>
        <w:t>Do ciclo de vida de gerenciamento do projeto</w:t>
      </w:r>
    </w:p>
    <w:p w:rsidR="003E40B4" w:rsidRDefault="00DC2CFA" w:rsidP="00950333">
      <w:pPr>
        <w:pStyle w:val="Artigo"/>
        <w:numPr>
          <w:ilvl w:val="0"/>
          <w:numId w:val="0"/>
        </w:numPr>
        <w:ind w:firstLine="1418"/>
      </w:pPr>
      <w:r>
        <w:lastRenderedPageBreak/>
        <w:t xml:space="preserve">Art. 16.  </w:t>
      </w:r>
      <w:r w:rsidR="00F043FA" w:rsidRPr="0064562F">
        <w:t xml:space="preserve">A MGP-TI preconiza um ciclo de gerenciamento de projetos flexível, dividido em fases que são definidas de acordo com as características de cada projeto. </w:t>
      </w:r>
      <w:r w:rsidR="003E40B4" w:rsidRPr="000312E2">
        <w:t>As reuniões</w:t>
      </w:r>
      <w:r w:rsidR="00F043FA" w:rsidRPr="00256C19">
        <w:t xml:space="preserve"> de decisão autorizam a passagem do projeto para uma nova fase do seu ciclo de vida.</w:t>
      </w:r>
    </w:p>
    <w:p w:rsidR="00EA5057" w:rsidRDefault="00EA5057" w:rsidP="00256C19">
      <w:pPr>
        <w:pStyle w:val="Artigo"/>
        <w:numPr>
          <w:ilvl w:val="0"/>
          <w:numId w:val="0"/>
        </w:numPr>
      </w:pPr>
      <w:r w:rsidRPr="000312E2">
        <w:rPr>
          <w:noProof/>
        </w:rPr>
        <w:drawing>
          <wp:inline distT="0" distB="0" distL="0" distR="0">
            <wp:extent cx="5760720" cy="2169241"/>
            <wp:effectExtent l="0" t="0" r="0" b="2540"/>
            <wp:docPr id="1" name="Imagem 1" descr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a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6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3FA" w:rsidRPr="000312E2" w:rsidRDefault="00335366" w:rsidP="00923CE3">
      <w:pPr>
        <w:pStyle w:val="Artigo"/>
        <w:numPr>
          <w:ilvl w:val="0"/>
          <w:numId w:val="0"/>
        </w:numPr>
      </w:pPr>
      <w:r>
        <w:t xml:space="preserve">Parágrafo Único. </w:t>
      </w:r>
      <w:r w:rsidR="00F043FA" w:rsidRPr="0064562F">
        <w:t xml:space="preserve">Para cada </w:t>
      </w:r>
      <w:r w:rsidR="003E40B4">
        <w:t xml:space="preserve">reunião </w:t>
      </w:r>
      <w:r w:rsidR="00F043FA" w:rsidRPr="0064562F">
        <w:t>de decisão, a MGP-TI apresenta uma proposta que descreve os produtos e as decisões que o CGP deve tomar com base no material produzido durante a fase.</w:t>
      </w:r>
    </w:p>
    <w:p w:rsidR="00F043FA" w:rsidRDefault="00DC2CFA" w:rsidP="00950333">
      <w:pPr>
        <w:pStyle w:val="Artigo"/>
        <w:numPr>
          <w:ilvl w:val="0"/>
          <w:numId w:val="0"/>
        </w:numPr>
        <w:ind w:firstLine="1418"/>
      </w:pPr>
      <w:r>
        <w:t xml:space="preserve">Art. 17.  </w:t>
      </w:r>
      <w:r w:rsidR="00A40299">
        <w:t>A</w:t>
      </w:r>
      <w:r w:rsidR="00F043FA">
        <w:t xml:space="preserve"> documentação de gestão produzida no projeto </w:t>
      </w:r>
      <w:r w:rsidR="00A40299">
        <w:t xml:space="preserve">deve ser </w:t>
      </w:r>
      <w:r w:rsidR="00F043FA">
        <w:t xml:space="preserve">consolidada em apresentações utilizadas pelo </w:t>
      </w:r>
      <w:r w:rsidR="008A5E43">
        <w:t xml:space="preserve">líder </w:t>
      </w:r>
      <w:r w:rsidR="00F043FA">
        <w:t xml:space="preserve">de projetos em cada </w:t>
      </w:r>
      <w:r w:rsidR="00A40299">
        <w:t xml:space="preserve">reunião </w:t>
      </w:r>
      <w:r w:rsidR="00F043FA">
        <w:t xml:space="preserve">de decisão. </w:t>
      </w:r>
      <w:r w:rsidR="00A40299">
        <w:t xml:space="preserve">A </w:t>
      </w:r>
      <w:r w:rsidR="00F043FA">
        <w:t xml:space="preserve">MGP-TI </w:t>
      </w:r>
      <w:r w:rsidR="00A40299">
        <w:t xml:space="preserve">sugere </w:t>
      </w:r>
      <w:r w:rsidR="00F043FA">
        <w:t xml:space="preserve">modelos de apresentações para cada </w:t>
      </w:r>
      <w:r w:rsidR="00A40299">
        <w:t xml:space="preserve">reunião de decisão do projeto, com objetivo de orientar a condução da fase e a elaboração do material pelo </w:t>
      </w:r>
      <w:r w:rsidR="008A5E43">
        <w:t xml:space="preserve">líder </w:t>
      </w:r>
      <w:r w:rsidR="00A40299">
        <w:t>de projetos.</w:t>
      </w:r>
    </w:p>
    <w:p w:rsidR="00F043FA" w:rsidRDefault="00DC2CFA" w:rsidP="00950333">
      <w:pPr>
        <w:pStyle w:val="Artigo"/>
        <w:numPr>
          <w:ilvl w:val="0"/>
          <w:numId w:val="0"/>
        </w:numPr>
        <w:ind w:firstLine="1418"/>
      </w:pPr>
      <w:r>
        <w:t xml:space="preserve">Art. 18.  </w:t>
      </w:r>
      <w:r w:rsidR="00A40299">
        <w:t xml:space="preserve">Para cada solicitação de demanda de TI, a CGTI </w:t>
      </w:r>
      <w:r w:rsidR="00F043FA">
        <w:t xml:space="preserve">analisará </w:t>
      </w:r>
      <w:r w:rsidR="00A40299">
        <w:t xml:space="preserve">o escopo da solicitação a fim de </w:t>
      </w:r>
      <w:r w:rsidR="00F043FA">
        <w:t xml:space="preserve">verificar se a demanda </w:t>
      </w:r>
      <w:r w:rsidR="00A40299">
        <w:t xml:space="preserve">deve ser classificada como </w:t>
      </w:r>
      <w:r w:rsidR="00F043FA">
        <w:t xml:space="preserve">projeto ou operação continuada. Em se tratando de um projeto, a </w:t>
      </w:r>
      <w:r w:rsidR="00A40299">
        <w:t xml:space="preserve">CGTI </w:t>
      </w:r>
      <w:r w:rsidR="00F043FA">
        <w:t>realizará a Decisão de Alinhamento e Viabilidade (DAV).</w:t>
      </w:r>
    </w:p>
    <w:p w:rsidR="00F043FA" w:rsidRDefault="00DC2CFA" w:rsidP="00950333">
      <w:pPr>
        <w:pStyle w:val="Artigo"/>
        <w:numPr>
          <w:ilvl w:val="0"/>
          <w:numId w:val="0"/>
        </w:numPr>
        <w:ind w:firstLine="1418"/>
      </w:pPr>
      <w:r>
        <w:t xml:space="preserve">Art. 19.  </w:t>
      </w:r>
      <w:r w:rsidR="00F043FA">
        <w:t xml:space="preserve">As </w:t>
      </w:r>
      <w:r w:rsidR="00EA5057">
        <w:t xml:space="preserve">reuniões de decisão que fazem parte do </w:t>
      </w:r>
      <w:r w:rsidR="00F043FA">
        <w:t xml:space="preserve">ciclo de vida </w:t>
      </w:r>
      <w:r w:rsidR="00EA5057">
        <w:t>de gerenciamento do</w:t>
      </w:r>
      <w:r w:rsidR="00F043FA">
        <w:t xml:space="preserve"> projeto são:</w:t>
      </w:r>
    </w:p>
    <w:p w:rsidR="00F31EE5" w:rsidRDefault="00F31EE5" w:rsidP="00950333">
      <w:pPr>
        <w:pStyle w:val="Pargrafo"/>
        <w:numPr>
          <w:ilvl w:val="1"/>
          <w:numId w:val="49"/>
        </w:numPr>
        <w:ind w:left="0" w:firstLine="0"/>
      </w:pPr>
      <w:r>
        <w:t>Decisão de Alinhamento e Viabilidade (DAV):</w:t>
      </w:r>
    </w:p>
    <w:p w:rsidR="00F31EE5" w:rsidRDefault="00F31EE5" w:rsidP="00256C19">
      <w:pPr>
        <w:pStyle w:val="Inciso"/>
      </w:pPr>
      <w:r>
        <w:t xml:space="preserve">A Decisão de Alinhamento e Viabilidade (DAV) tem por objetivo avaliar o valor da demanda apresentada para o negócio e autorizar o início </w:t>
      </w:r>
      <w:r w:rsidR="008A5E43">
        <w:t xml:space="preserve">de </w:t>
      </w:r>
      <w:r>
        <w:t>sua análise de viabilidade pela CGTI.</w:t>
      </w:r>
    </w:p>
    <w:p w:rsidR="00F31EE5" w:rsidRDefault="002A29F4" w:rsidP="00256C19">
      <w:pPr>
        <w:pStyle w:val="Inciso"/>
      </w:pPr>
      <w:r>
        <w:t>A</w:t>
      </w:r>
      <w:r w:rsidR="00F31EE5">
        <w:t xml:space="preserve"> DAV não é </w:t>
      </w:r>
      <w:r w:rsidR="008A5E43">
        <w:t xml:space="preserve">executada </w:t>
      </w:r>
      <w:r w:rsidR="00F31EE5">
        <w:t>em uma reunião e sim a partir da comunicação do Coordenador da CGTI da necessidade de avaliar a viabilidade de determinada demanda apresentada por uma área de negócio do M</w:t>
      </w:r>
      <w:r w:rsidR="007A596A">
        <w:t>in</w:t>
      </w:r>
      <w:r w:rsidR="00F31EE5">
        <w:t>C.</w:t>
      </w:r>
    </w:p>
    <w:p w:rsidR="00F31EE5" w:rsidRDefault="00227010" w:rsidP="00256C19">
      <w:pPr>
        <w:pStyle w:val="Inciso"/>
      </w:pPr>
      <w:r>
        <w:t>Os seguintes</w:t>
      </w:r>
      <w:r w:rsidR="00F31EE5">
        <w:t xml:space="preserve"> produtos </w:t>
      </w:r>
      <w:r>
        <w:t>são previstos para realização da DAV</w:t>
      </w:r>
      <w:r w:rsidR="00F31EE5">
        <w:t>:</w:t>
      </w:r>
    </w:p>
    <w:p w:rsidR="00227010" w:rsidRDefault="007C4FFA" w:rsidP="00256C19">
      <w:pPr>
        <w:pStyle w:val="Alnea"/>
      </w:pPr>
      <w:proofErr w:type="gramStart"/>
      <w:r>
        <w:t>d</w:t>
      </w:r>
      <w:r w:rsidR="00227010" w:rsidRPr="00227010">
        <w:t>ocumento</w:t>
      </w:r>
      <w:proofErr w:type="gramEnd"/>
      <w:r w:rsidR="00227010" w:rsidRPr="00227010">
        <w:t xml:space="preserve"> de oficialização da demanda</w:t>
      </w:r>
      <w:r w:rsidR="000C6218">
        <w:t xml:space="preserve"> (DOD)</w:t>
      </w:r>
      <w:r w:rsidR="00227010">
        <w:t>:</w:t>
      </w:r>
      <w:r w:rsidR="00227010" w:rsidRPr="00227010">
        <w:t xml:space="preserve"> encaminhado a CGTI pelo Coordenador-Geral da área demandante.</w:t>
      </w:r>
    </w:p>
    <w:p w:rsidR="00227010" w:rsidRDefault="002A29F4" w:rsidP="00256C19">
      <w:pPr>
        <w:pStyle w:val="Inciso"/>
      </w:pPr>
      <w:r>
        <w:t xml:space="preserve">As seguintes </w:t>
      </w:r>
      <w:r w:rsidR="00227010">
        <w:t xml:space="preserve">decisões </w:t>
      </w:r>
      <w:r>
        <w:t xml:space="preserve">são </w:t>
      </w:r>
      <w:r w:rsidR="00227010">
        <w:t>necessárias ao final da DAV</w:t>
      </w:r>
      <w:r w:rsidR="00227010" w:rsidRPr="00227010">
        <w:t>:</w:t>
      </w:r>
    </w:p>
    <w:p w:rsidR="00227010" w:rsidRDefault="007C4FFA" w:rsidP="00227010">
      <w:pPr>
        <w:pStyle w:val="Alnea"/>
      </w:pPr>
      <w:proofErr w:type="gramStart"/>
      <w:r>
        <w:t>d</w:t>
      </w:r>
      <w:r w:rsidR="00227010">
        <w:t>esignar</w:t>
      </w:r>
      <w:proofErr w:type="gramEnd"/>
      <w:r w:rsidR="00227010">
        <w:t xml:space="preserve"> responsável para conduzir a fase de Pré-projeto;</w:t>
      </w:r>
    </w:p>
    <w:p w:rsidR="00227010" w:rsidRDefault="007C4FFA" w:rsidP="00227010">
      <w:pPr>
        <w:pStyle w:val="Alnea"/>
      </w:pPr>
      <w:proofErr w:type="gramStart"/>
      <w:r>
        <w:t>d</w:t>
      </w:r>
      <w:r w:rsidR="00227010">
        <w:t>esignar</w:t>
      </w:r>
      <w:proofErr w:type="gramEnd"/>
      <w:r w:rsidR="00227010">
        <w:t xml:space="preserve"> usuários chaves;</w:t>
      </w:r>
    </w:p>
    <w:p w:rsidR="00227010" w:rsidRDefault="00105B72" w:rsidP="00227010">
      <w:pPr>
        <w:pStyle w:val="Alnea"/>
      </w:pPr>
      <w:proofErr w:type="gramStart"/>
      <w:r>
        <w:t>g</w:t>
      </w:r>
      <w:r w:rsidR="00227010">
        <w:t>arantir</w:t>
      </w:r>
      <w:proofErr w:type="gramEnd"/>
      <w:r w:rsidR="00227010">
        <w:t xml:space="preserve"> a alocação da equipe necessária para o Pré-projeto, e;</w:t>
      </w:r>
    </w:p>
    <w:p w:rsidR="00227010" w:rsidRPr="0064562F" w:rsidRDefault="00105B72" w:rsidP="00256C19">
      <w:pPr>
        <w:pStyle w:val="Alnea"/>
      </w:pPr>
      <w:proofErr w:type="gramStart"/>
      <w:r>
        <w:t>a</w:t>
      </w:r>
      <w:r w:rsidR="00227010">
        <w:t>provar</w:t>
      </w:r>
      <w:proofErr w:type="gramEnd"/>
      <w:r w:rsidR="00227010">
        <w:t xml:space="preserve"> o início da fase de Pré-projeto.</w:t>
      </w:r>
    </w:p>
    <w:p w:rsidR="00F043FA" w:rsidRDefault="00F31EE5" w:rsidP="00256C19">
      <w:pPr>
        <w:pStyle w:val="Pargrafo"/>
      </w:pPr>
      <w:r>
        <w:lastRenderedPageBreak/>
        <w:t xml:space="preserve">Decisão de Abertura do Projeto </w:t>
      </w:r>
      <w:r w:rsidR="00F043FA">
        <w:t>– DAP:</w:t>
      </w:r>
    </w:p>
    <w:p w:rsidR="00F043FA" w:rsidRDefault="002A29F4" w:rsidP="00256C19">
      <w:pPr>
        <w:pStyle w:val="Inciso"/>
        <w:ind w:left="1"/>
      </w:pPr>
      <w:r>
        <w:t>A</w:t>
      </w:r>
      <w:r w:rsidR="00F043FA">
        <w:t xml:space="preserve"> DAP é a decisão obrigatória a todos os projetos, que tem por objetivo analisar o alinhamento do projeto ao negócio da organização, bem como, sua viabilidade, escopo e planejamento preliminar, com o objetivo de autorizar a abertura e o início do planejamento do projeto.</w:t>
      </w:r>
    </w:p>
    <w:p w:rsidR="00F043FA" w:rsidRDefault="002A29F4" w:rsidP="00256C19">
      <w:pPr>
        <w:pStyle w:val="Inciso"/>
      </w:pPr>
      <w:r>
        <w:t>A</w:t>
      </w:r>
      <w:r w:rsidR="00F043FA">
        <w:t xml:space="preserve"> DAP é </w:t>
      </w:r>
      <w:r w:rsidR="00D627F7">
        <w:t xml:space="preserve">realizada </w:t>
      </w:r>
      <w:r w:rsidR="00F043FA">
        <w:t>com a par</w:t>
      </w:r>
      <w:r w:rsidR="00D0504A">
        <w:t>ticipação dos responsáveis pela área demandante e da CGTI</w:t>
      </w:r>
      <w:r w:rsidR="00F043FA">
        <w:t>.</w:t>
      </w:r>
    </w:p>
    <w:p w:rsidR="00F043FA" w:rsidRDefault="00174E25" w:rsidP="00256C19">
      <w:pPr>
        <w:pStyle w:val="Inciso"/>
      </w:pPr>
      <w:r>
        <w:t>Na fase de Pré-projeto, que ocorre a</w:t>
      </w:r>
      <w:r w:rsidR="00F043FA">
        <w:t>nteriormente à DAP, é obrigatória a real</w:t>
      </w:r>
      <w:r w:rsidR="00F31EE5">
        <w:t>ização dos seguintes processos</w:t>
      </w:r>
      <w:r>
        <w:t xml:space="preserve"> da MGP-SISP</w:t>
      </w:r>
      <w:r w:rsidR="00F31EE5">
        <w:t>:</w:t>
      </w:r>
    </w:p>
    <w:p w:rsidR="00F043FA" w:rsidRDefault="00105B72" w:rsidP="00256C19">
      <w:pPr>
        <w:pStyle w:val="Alnea"/>
      </w:pPr>
      <w:proofErr w:type="gramStart"/>
      <w:r>
        <w:t>r</w:t>
      </w:r>
      <w:r w:rsidR="00F043FA">
        <w:t>ealizar</w:t>
      </w:r>
      <w:proofErr w:type="gramEnd"/>
      <w:r w:rsidR="00F043FA">
        <w:t xml:space="preserve"> </w:t>
      </w:r>
      <w:r>
        <w:t>a</w:t>
      </w:r>
      <w:r w:rsidR="00F043FA">
        <w:t xml:space="preserve">nálise de </w:t>
      </w:r>
      <w:r>
        <w:t>a</w:t>
      </w:r>
      <w:r w:rsidR="00F043FA">
        <w:t xml:space="preserve">linhamento e </w:t>
      </w:r>
      <w:r w:rsidR="00D627F7">
        <w:t xml:space="preserve">de </w:t>
      </w:r>
      <w:r>
        <w:t>v</w:t>
      </w:r>
      <w:r w:rsidR="00F043FA">
        <w:t xml:space="preserve">iabilidade do </w:t>
      </w:r>
      <w:r>
        <w:t>p</w:t>
      </w:r>
      <w:r w:rsidR="00F043FA">
        <w:t>rojeto</w:t>
      </w:r>
      <w:r>
        <w:t>;</w:t>
      </w:r>
    </w:p>
    <w:p w:rsidR="002A29F4" w:rsidRDefault="002A29F4" w:rsidP="002A29F4">
      <w:pPr>
        <w:pStyle w:val="Inciso"/>
      </w:pPr>
      <w:r>
        <w:t>Os seguintes produtos são previstos para realização da DAP:</w:t>
      </w:r>
    </w:p>
    <w:p w:rsidR="002A29F4" w:rsidRDefault="00105B72" w:rsidP="00256C19">
      <w:pPr>
        <w:pStyle w:val="Alnea"/>
      </w:pPr>
      <w:proofErr w:type="gramStart"/>
      <w:r>
        <w:t>o</w:t>
      </w:r>
      <w:r w:rsidR="002A29F4">
        <w:t>bjetivos</w:t>
      </w:r>
      <w:proofErr w:type="gramEnd"/>
      <w:r w:rsidR="002A29F4">
        <w:t xml:space="preserve"> de negócio</w:t>
      </w:r>
      <w:r w:rsidR="006A67AD">
        <w:t>:</w:t>
      </w:r>
    </w:p>
    <w:p w:rsidR="002A29F4" w:rsidRDefault="00105B72" w:rsidP="00256C19">
      <w:pPr>
        <w:pStyle w:val="Subalnea"/>
      </w:pPr>
      <w:proofErr w:type="gramStart"/>
      <w:r>
        <w:t>d</w:t>
      </w:r>
      <w:r w:rsidR="002A29F4">
        <w:t>iagnóstico</w:t>
      </w:r>
      <w:proofErr w:type="gramEnd"/>
      <w:r>
        <w:t>;</w:t>
      </w:r>
    </w:p>
    <w:p w:rsidR="002A29F4" w:rsidRDefault="00105B72" w:rsidP="00256C19">
      <w:pPr>
        <w:pStyle w:val="Subalnea"/>
      </w:pPr>
      <w:proofErr w:type="gramStart"/>
      <w:r>
        <w:t>v</w:t>
      </w:r>
      <w:r w:rsidR="002A29F4">
        <w:t>isão</w:t>
      </w:r>
      <w:proofErr w:type="gramEnd"/>
      <w:r>
        <w:t>;</w:t>
      </w:r>
    </w:p>
    <w:p w:rsidR="002A29F4" w:rsidRDefault="00105B72" w:rsidP="00256C19">
      <w:pPr>
        <w:pStyle w:val="Subalnea"/>
      </w:pPr>
      <w:proofErr w:type="gramStart"/>
      <w:r>
        <w:t>e</w:t>
      </w:r>
      <w:r w:rsidR="002A29F4">
        <w:t>scopo</w:t>
      </w:r>
      <w:proofErr w:type="gramEnd"/>
      <w:r w:rsidR="002A29F4">
        <w:t xml:space="preserve"> e limitações (preliminar)</w:t>
      </w:r>
      <w:r>
        <w:t>.</w:t>
      </w:r>
    </w:p>
    <w:p w:rsidR="002A29F4" w:rsidRDefault="003A338C" w:rsidP="00256C19">
      <w:pPr>
        <w:pStyle w:val="Alnea"/>
      </w:pPr>
      <w:proofErr w:type="gramStart"/>
      <w:r>
        <w:t>s</w:t>
      </w:r>
      <w:r w:rsidR="002A29F4">
        <w:t>olução</w:t>
      </w:r>
      <w:proofErr w:type="gramEnd"/>
      <w:r w:rsidR="006A67AD">
        <w:t>:</w:t>
      </w:r>
    </w:p>
    <w:p w:rsidR="002A29F4" w:rsidRDefault="00105B72" w:rsidP="00256C19">
      <w:pPr>
        <w:pStyle w:val="Subalnea"/>
      </w:pPr>
      <w:proofErr w:type="gramStart"/>
      <w:r>
        <w:t>a</w:t>
      </w:r>
      <w:r w:rsidR="002A29F4">
        <w:t>lternativas</w:t>
      </w:r>
      <w:proofErr w:type="gramEnd"/>
      <w:r w:rsidR="002A29F4">
        <w:t xml:space="preserve"> de solução</w:t>
      </w:r>
      <w:r>
        <w:t>;</w:t>
      </w:r>
    </w:p>
    <w:p w:rsidR="002A29F4" w:rsidRDefault="00105B72" w:rsidP="00256C19">
      <w:pPr>
        <w:pStyle w:val="Subalnea"/>
      </w:pPr>
      <w:proofErr w:type="gramStart"/>
      <w:r>
        <w:t>s</w:t>
      </w:r>
      <w:r w:rsidR="002A29F4">
        <w:t>istemas</w:t>
      </w:r>
      <w:proofErr w:type="gramEnd"/>
      <w:r w:rsidR="002A29F4">
        <w:t xml:space="preserve"> envolvidos</w:t>
      </w:r>
      <w:r w:rsidR="00657275">
        <w:t xml:space="preserve"> (opcional)</w:t>
      </w:r>
      <w:r>
        <w:t>;</w:t>
      </w:r>
    </w:p>
    <w:p w:rsidR="002A29F4" w:rsidRDefault="00105B72" w:rsidP="00256C19">
      <w:pPr>
        <w:pStyle w:val="Subalnea"/>
      </w:pPr>
      <w:proofErr w:type="gramStart"/>
      <w:r>
        <w:t>i</w:t>
      </w:r>
      <w:r w:rsidR="00657275">
        <w:t>mpactos</w:t>
      </w:r>
      <w:proofErr w:type="gramEnd"/>
      <w:r w:rsidR="00657275">
        <w:t xml:space="preserve"> na infra</w:t>
      </w:r>
      <w:r w:rsidR="002A29F4">
        <w:t>estrutura de TI</w:t>
      </w:r>
      <w:r w:rsidR="00657275">
        <w:t xml:space="preserve"> (opcional)</w:t>
      </w:r>
      <w:r>
        <w:t>.</w:t>
      </w:r>
    </w:p>
    <w:p w:rsidR="002A29F4" w:rsidRDefault="00FA563F" w:rsidP="00256C19">
      <w:pPr>
        <w:pStyle w:val="Alnea"/>
      </w:pPr>
      <w:proofErr w:type="gramStart"/>
      <w:r>
        <w:t>g</w:t>
      </w:r>
      <w:r w:rsidR="002A29F4">
        <w:t>estão</w:t>
      </w:r>
      <w:proofErr w:type="gramEnd"/>
      <w:r w:rsidR="002A29F4">
        <w:t xml:space="preserve"> de projetos</w:t>
      </w:r>
      <w:r w:rsidR="006A67AD">
        <w:t>:</w:t>
      </w:r>
    </w:p>
    <w:p w:rsidR="002A29F4" w:rsidRDefault="00105B72" w:rsidP="00256C19">
      <w:pPr>
        <w:pStyle w:val="Subalnea"/>
      </w:pPr>
      <w:proofErr w:type="gramStart"/>
      <w:r>
        <w:t>c</w:t>
      </w:r>
      <w:r w:rsidR="002A29F4">
        <w:t>ronograma</w:t>
      </w:r>
      <w:proofErr w:type="gramEnd"/>
      <w:r w:rsidR="002A29F4">
        <w:t xml:space="preserve"> (preliminar)</w:t>
      </w:r>
      <w:r>
        <w:t>;</w:t>
      </w:r>
    </w:p>
    <w:p w:rsidR="002A29F4" w:rsidRDefault="00105B72" w:rsidP="00256C19">
      <w:pPr>
        <w:pStyle w:val="Subalnea"/>
      </w:pPr>
      <w:proofErr w:type="gramStart"/>
      <w:r>
        <w:t>o</w:t>
      </w:r>
      <w:r w:rsidR="002A29F4">
        <w:t>rçamento</w:t>
      </w:r>
      <w:proofErr w:type="gramEnd"/>
      <w:r w:rsidR="002A29F4">
        <w:t xml:space="preserve"> (preliminar</w:t>
      </w:r>
      <w:r w:rsidR="00A16DFA">
        <w:t>, quando aplicável</w:t>
      </w:r>
      <w:r w:rsidR="002A29F4">
        <w:t>)</w:t>
      </w:r>
      <w:r>
        <w:t>;</w:t>
      </w:r>
    </w:p>
    <w:p w:rsidR="002A29F4" w:rsidRDefault="00105B72" w:rsidP="00256C19">
      <w:pPr>
        <w:pStyle w:val="Subalnea"/>
      </w:pPr>
      <w:proofErr w:type="gramStart"/>
      <w:r>
        <w:t>l</w:t>
      </w:r>
      <w:r w:rsidR="002A29F4">
        <w:t>ista</w:t>
      </w:r>
      <w:proofErr w:type="gramEnd"/>
      <w:r w:rsidR="002A29F4">
        <w:t xml:space="preserve"> de riscos (preliminar</w:t>
      </w:r>
      <w:r w:rsidR="00A16DFA">
        <w:t xml:space="preserve"> e</w:t>
      </w:r>
      <w:r w:rsidR="00657275">
        <w:t xml:space="preserve"> opcional</w:t>
      </w:r>
      <w:r w:rsidR="002A29F4">
        <w:t>)</w:t>
      </w:r>
      <w:r>
        <w:t>;</w:t>
      </w:r>
    </w:p>
    <w:p w:rsidR="002A29F4" w:rsidRDefault="00105B72" w:rsidP="00256C19">
      <w:pPr>
        <w:pStyle w:val="Subalnea"/>
      </w:pPr>
      <w:proofErr w:type="gramStart"/>
      <w:r>
        <w:t>n</w:t>
      </w:r>
      <w:r w:rsidR="002A29F4">
        <w:t>ecessidades</w:t>
      </w:r>
      <w:proofErr w:type="gramEnd"/>
      <w:r w:rsidR="002A29F4">
        <w:t xml:space="preserve"> de recursos (preliminar)</w:t>
      </w:r>
      <w:r>
        <w:t>;</w:t>
      </w:r>
    </w:p>
    <w:p w:rsidR="002A29F4" w:rsidRPr="002A29F4" w:rsidRDefault="00105B72" w:rsidP="00256C19">
      <w:pPr>
        <w:pStyle w:val="Subalnea"/>
      </w:pPr>
      <w:proofErr w:type="gramStart"/>
      <w:r>
        <w:t>l</w:t>
      </w:r>
      <w:r w:rsidR="002A29F4">
        <w:t>ista</w:t>
      </w:r>
      <w:proofErr w:type="gramEnd"/>
      <w:r w:rsidR="002A29F4">
        <w:t xml:space="preserve"> de interessados (preliminar)</w:t>
      </w:r>
      <w:r>
        <w:t>.</w:t>
      </w:r>
    </w:p>
    <w:p w:rsidR="002A29F4" w:rsidRDefault="002A29F4" w:rsidP="002A29F4">
      <w:pPr>
        <w:pStyle w:val="Inciso"/>
      </w:pPr>
      <w:r>
        <w:t>As seguintes decisões são necessárias ao final da DAP</w:t>
      </w:r>
      <w:r w:rsidRPr="00227010">
        <w:t>:</w:t>
      </w:r>
    </w:p>
    <w:p w:rsidR="00C93A67" w:rsidRDefault="00105B72" w:rsidP="00256C19">
      <w:pPr>
        <w:pStyle w:val="Alnea"/>
      </w:pPr>
      <w:proofErr w:type="gramStart"/>
      <w:r>
        <w:t>a</w:t>
      </w:r>
      <w:r w:rsidR="00C93A67">
        <w:t>provar</w:t>
      </w:r>
      <w:proofErr w:type="gramEnd"/>
      <w:r w:rsidR="00C93A67">
        <w:t xml:space="preserve"> o escopo de nível macro e limitações;</w:t>
      </w:r>
    </w:p>
    <w:p w:rsidR="00C93A67" w:rsidRDefault="00105B72" w:rsidP="00256C19">
      <w:pPr>
        <w:pStyle w:val="Alnea"/>
      </w:pPr>
      <w:proofErr w:type="gramStart"/>
      <w:r>
        <w:t>a</w:t>
      </w:r>
      <w:r w:rsidR="00C93A67">
        <w:t>provar</w:t>
      </w:r>
      <w:proofErr w:type="gramEnd"/>
      <w:r w:rsidR="00C93A67">
        <w:t xml:space="preserve"> cronograma preliminar;</w:t>
      </w:r>
    </w:p>
    <w:p w:rsidR="00C93A67" w:rsidRDefault="00105B72" w:rsidP="00256C19">
      <w:pPr>
        <w:pStyle w:val="Alnea"/>
      </w:pPr>
      <w:proofErr w:type="gramStart"/>
      <w:r>
        <w:t>d</w:t>
      </w:r>
      <w:r w:rsidR="00C93A67">
        <w:t>ecidir</w:t>
      </w:r>
      <w:proofErr w:type="gramEnd"/>
      <w:r w:rsidR="00C93A67">
        <w:t xml:space="preserve"> a alternativa de solução a ser estudada;</w:t>
      </w:r>
    </w:p>
    <w:p w:rsidR="00C93A67" w:rsidRDefault="00105B72" w:rsidP="00256C19">
      <w:pPr>
        <w:pStyle w:val="Alnea"/>
      </w:pPr>
      <w:proofErr w:type="gramStart"/>
      <w:r>
        <w:t>d</w:t>
      </w:r>
      <w:r w:rsidR="00C93A67">
        <w:t>esignar</w:t>
      </w:r>
      <w:proofErr w:type="gramEnd"/>
      <w:r w:rsidR="00C93A67">
        <w:t xml:space="preserve"> o </w:t>
      </w:r>
      <w:r w:rsidR="00D627F7">
        <w:t xml:space="preserve">líder </w:t>
      </w:r>
      <w:r w:rsidR="00C93A67">
        <w:t xml:space="preserve">do </w:t>
      </w:r>
      <w:r w:rsidR="00D627F7">
        <w:t>projeto</w:t>
      </w:r>
      <w:r w:rsidR="00C93A67">
        <w:t>;</w:t>
      </w:r>
    </w:p>
    <w:p w:rsidR="00C93A67" w:rsidRDefault="00105B72" w:rsidP="00256C19">
      <w:pPr>
        <w:pStyle w:val="Alnea"/>
      </w:pPr>
      <w:proofErr w:type="gramStart"/>
      <w:r>
        <w:t>d</w:t>
      </w:r>
      <w:r w:rsidR="00C93A67">
        <w:t>esignar</w:t>
      </w:r>
      <w:proofErr w:type="gramEnd"/>
      <w:r w:rsidR="00C93A67">
        <w:t xml:space="preserve"> o Comitê Gestor do Projeto;</w:t>
      </w:r>
    </w:p>
    <w:p w:rsidR="00C93A67" w:rsidRDefault="00105B72" w:rsidP="00256C19">
      <w:pPr>
        <w:pStyle w:val="Alnea"/>
      </w:pPr>
      <w:proofErr w:type="gramStart"/>
      <w:r>
        <w:t>d</w:t>
      </w:r>
      <w:r w:rsidR="00C93A67">
        <w:t>esignar</w:t>
      </w:r>
      <w:proofErr w:type="gramEnd"/>
      <w:r w:rsidR="00C93A67">
        <w:t xml:space="preserve"> usuários chaves, e</w:t>
      </w:r>
    </w:p>
    <w:p w:rsidR="00C93A67" w:rsidRDefault="00105B72" w:rsidP="00256C19">
      <w:pPr>
        <w:pStyle w:val="Alnea"/>
      </w:pPr>
      <w:proofErr w:type="gramStart"/>
      <w:r>
        <w:t>a</w:t>
      </w:r>
      <w:r w:rsidR="00C93A67">
        <w:t>provar</w:t>
      </w:r>
      <w:proofErr w:type="gramEnd"/>
      <w:r w:rsidR="00C93A67">
        <w:t xml:space="preserve"> a abertura do </w:t>
      </w:r>
      <w:r>
        <w:t>p</w:t>
      </w:r>
      <w:r w:rsidR="00C93A67">
        <w:t xml:space="preserve">rojeto. </w:t>
      </w:r>
    </w:p>
    <w:p w:rsidR="00F043FA" w:rsidRDefault="00F043FA" w:rsidP="00256C19">
      <w:pPr>
        <w:pStyle w:val="Pargrafo"/>
      </w:pPr>
      <w:r>
        <w:lastRenderedPageBreak/>
        <w:t>Decisão de Desenvolvimento da Solução - DDS:</w:t>
      </w:r>
    </w:p>
    <w:p w:rsidR="00F043FA" w:rsidRDefault="00C1281D" w:rsidP="00256C19">
      <w:pPr>
        <w:pStyle w:val="Inciso"/>
      </w:pPr>
      <w:r>
        <w:t>O</w:t>
      </w:r>
      <w:r w:rsidR="00F043FA">
        <w:t xml:space="preserve"> objetivo d</w:t>
      </w:r>
      <w:r>
        <w:t>a</w:t>
      </w:r>
      <w:r w:rsidR="00F043FA">
        <w:t xml:space="preserve"> DDS é </w:t>
      </w:r>
      <w:r>
        <w:t>a</w:t>
      </w:r>
      <w:r w:rsidRPr="00C1281D">
        <w:t xml:space="preserve">valiar o escopo, a solução apresentada e o planejamento final para </w:t>
      </w:r>
      <w:r>
        <w:t>autorizar o início d</w:t>
      </w:r>
      <w:r w:rsidRPr="00C1281D">
        <w:t>o desenvolvimento da solução.</w:t>
      </w:r>
    </w:p>
    <w:p w:rsidR="000312E2" w:rsidRDefault="000312E2" w:rsidP="000312E2">
      <w:pPr>
        <w:pStyle w:val="Inciso"/>
      </w:pPr>
      <w:r>
        <w:t>Na fase de Planejamento, que ocorre anteriormente à DDS, é recomendada a realização dos seguintes processos da MGP-SISP:</w:t>
      </w:r>
    </w:p>
    <w:p w:rsidR="00C93A67" w:rsidRDefault="00105B72" w:rsidP="00C93A67">
      <w:pPr>
        <w:pStyle w:val="Alnea"/>
      </w:pPr>
      <w:proofErr w:type="gramStart"/>
      <w:r>
        <w:t>d</w:t>
      </w:r>
      <w:r w:rsidR="00C93A67">
        <w:t>efinir</w:t>
      </w:r>
      <w:proofErr w:type="gramEnd"/>
      <w:r w:rsidR="00C93A67">
        <w:t xml:space="preserve"> escopo;</w:t>
      </w:r>
    </w:p>
    <w:p w:rsidR="00C93A67" w:rsidRDefault="00105B72" w:rsidP="00C93A67">
      <w:pPr>
        <w:pStyle w:val="Alnea"/>
      </w:pPr>
      <w:proofErr w:type="gramStart"/>
      <w:r>
        <w:t>e</w:t>
      </w:r>
      <w:r w:rsidR="00C93A67">
        <w:t>laborar</w:t>
      </w:r>
      <w:proofErr w:type="gramEnd"/>
      <w:r w:rsidR="00C93A67">
        <w:t xml:space="preserve"> cronograma;</w:t>
      </w:r>
    </w:p>
    <w:p w:rsidR="00C93A67" w:rsidRDefault="00105B72" w:rsidP="00C93A67">
      <w:pPr>
        <w:pStyle w:val="Alnea"/>
      </w:pPr>
      <w:proofErr w:type="gramStart"/>
      <w:r>
        <w:t>p</w:t>
      </w:r>
      <w:r w:rsidR="00C93A67">
        <w:t>lanejar</w:t>
      </w:r>
      <w:proofErr w:type="gramEnd"/>
      <w:r w:rsidR="00C93A67">
        <w:t xml:space="preserve"> custos;</w:t>
      </w:r>
    </w:p>
    <w:p w:rsidR="00C93A67" w:rsidRDefault="00105B72" w:rsidP="00C93A67">
      <w:pPr>
        <w:pStyle w:val="Alnea"/>
      </w:pPr>
      <w:proofErr w:type="gramStart"/>
      <w:r>
        <w:t>d</w:t>
      </w:r>
      <w:r w:rsidR="00C93A67">
        <w:t>efinir</w:t>
      </w:r>
      <w:proofErr w:type="gramEnd"/>
      <w:r w:rsidR="00C93A67">
        <w:t xml:space="preserve"> qualidade;</w:t>
      </w:r>
    </w:p>
    <w:p w:rsidR="00C93A67" w:rsidRDefault="00105B72" w:rsidP="00C93A67">
      <w:pPr>
        <w:pStyle w:val="Alnea"/>
      </w:pPr>
      <w:proofErr w:type="gramStart"/>
      <w:r>
        <w:t>d</w:t>
      </w:r>
      <w:r w:rsidR="00C93A67">
        <w:t>efinir</w:t>
      </w:r>
      <w:proofErr w:type="gramEnd"/>
      <w:r w:rsidR="00C93A67">
        <w:t xml:space="preserve"> equipe;</w:t>
      </w:r>
    </w:p>
    <w:p w:rsidR="00C93A67" w:rsidRDefault="00105B72" w:rsidP="00C93A67">
      <w:pPr>
        <w:pStyle w:val="Alnea"/>
      </w:pPr>
      <w:proofErr w:type="gramStart"/>
      <w:r>
        <w:t>p</w:t>
      </w:r>
      <w:r w:rsidR="00C93A67">
        <w:t>lanejar</w:t>
      </w:r>
      <w:proofErr w:type="gramEnd"/>
      <w:r w:rsidR="00C93A67">
        <w:t xml:space="preserve"> comunicação;</w:t>
      </w:r>
    </w:p>
    <w:p w:rsidR="00C93A67" w:rsidRDefault="00105B72" w:rsidP="00C93A67">
      <w:pPr>
        <w:pStyle w:val="Alnea"/>
      </w:pPr>
      <w:proofErr w:type="gramStart"/>
      <w:r>
        <w:t>i</w:t>
      </w:r>
      <w:r w:rsidR="00C93A67">
        <w:t>dentificar</w:t>
      </w:r>
      <w:proofErr w:type="gramEnd"/>
      <w:r w:rsidR="00C93A67">
        <w:t xml:space="preserve"> e analisar riscos;</w:t>
      </w:r>
    </w:p>
    <w:p w:rsidR="00C93A67" w:rsidRDefault="00105B72" w:rsidP="00C93A67">
      <w:pPr>
        <w:pStyle w:val="Alnea"/>
      </w:pPr>
      <w:proofErr w:type="gramStart"/>
      <w:r>
        <w:t>p</w:t>
      </w:r>
      <w:r w:rsidR="00C93A67">
        <w:t>lanejar</w:t>
      </w:r>
      <w:proofErr w:type="gramEnd"/>
      <w:r w:rsidR="00C93A67">
        <w:t xml:space="preserve"> </w:t>
      </w:r>
      <w:r>
        <w:t>a</w:t>
      </w:r>
      <w:r w:rsidR="00C93A67">
        <w:t>quisições e contratos, obrigatório em caso de contratação de solução de TI – IN</w:t>
      </w:r>
      <w:r w:rsidR="00106EDF">
        <w:t xml:space="preserve"> </w:t>
      </w:r>
      <w:r w:rsidR="00C93A67">
        <w:t>04/2010; e</w:t>
      </w:r>
    </w:p>
    <w:p w:rsidR="00C93A67" w:rsidRDefault="00105B72" w:rsidP="00C93A67">
      <w:pPr>
        <w:pStyle w:val="Alnea"/>
      </w:pPr>
      <w:proofErr w:type="gramStart"/>
      <w:r>
        <w:t>c</w:t>
      </w:r>
      <w:r w:rsidR="00C93A67">
        <w:t>onsolidar</w:t>
      </w:r>
      <w:proofErr w:type="gramEnd"/>
      <w:r w:rsidR="00C93A67">
        <w:t xml:space="preserve"> </w:t>
      </w:r>
      <w:r>
        <w:t>p</w:t>
      </w:r>
      <w:r w:rsidR="00C93A67">
        <w:t xml:space="preserve">lano de </w:t>
      </w:r>
      <w:r>
        <w:t>g</w:t>
      </w:r>
      <w:r w:rsidR="00C93A67">
        <w:t xml:space="preserve">erenciamento de </w:t>
      </w:r>
      <w:r>
        <w:t>p</w:t>
      </w:r>
      <w:r w:rsidR="00C93A67">
        <w:t>rojeto.</w:t>
      </w:r>
    </w:p>
    <w:p w:rsidR="000312E2" w:rsidRDefault="000312E2" w:rsidP="000312E2">
      <w:pPr>
        <w:pStyle w:val="Inciso"/>
      </w:pPr>
      <w:r>
        <w:t>Os seguintes produtos são previstos para realização da DDS:</w:t>
      </w:r>
    </w:p>
    <w:p w:rsidR="000312E2" w:rsidRDefault="00105B72" w:rsidP="00256C19">
      <w:pPr>
        <w:pStyle w:val="Alnea"/>
      </w:pPr>
      <w:proofErr w:type="gramStart"/>
      <w:r>
        <w:t>o</w:t>
      </w:r>
      <w:r w:rsidR="000312E2">
        <w:t>bjetivos</w:t>
      </w:r>
      <w:proofErr w:type="gramEnd"/>
      <w:r w:rsidR="000312E2">
        <w:t xml:space="preserve"> de negócio</w:t>
      </w:r>
      <w:r w:rsidR="006A67AD">
        <w:t>:</w:t>
      </w:r>
    </w:p>
    <w:p w:rsidR="000312E2" w:rsidRDefault="00105B72" w:rsidP="00256C19">
      <w:pPr>
        <w:pStyle w:val="Subalnea"/>
      </w:pPr>
      <w:proofErr w:type="gramStart"/>
      <w:r>
        <w:t>d</w:t>
      </w:r>
      <w:r w:rsidR="000312E2">
        <w:t>iagnóstico</w:t>
      </w:r>
      <w:proofErr w:type="gramEnd"/>
      <w:r w:rsidR="00F50731">
        <w:t xml:space="preserve"> (opcional)</w:t>
      </w:r>
    </w:p>
    <w:p w:rsidR="000312E2" w:rsidRDefault="00105B72" w:rsidP="00256C19">
      <w:pPr>
        <w:pStyle w:val="Subalnea"/>
      </w:pPr>
      <w:proofErr w:type="gramStart"/>
      <w:r>
        <w:t>v</w:t>
      </w:r>
      <w:r w:rsidR="000312E2">
        <w:t>isão</w:t>
      </w:r>
      <w:proofErr w:type="gramEnd"/>
      <w:r w:rsidR="00F50731">
        <w:t xml:space="preserve"> (opcional)</w:t>
      </w:r>
    </w:p>
    <w:p w:rsidR="000312E2" w:rsidRDefault="00105B72" w:rsidP="00256C19">
      <w:pPr>
        <w:pStyle w:val="Subalnea"/>
      </w:pPr>
      <w:proofErr w:type="gramStart"/>
      <w:r>
        <w:t>e</w:t>
      </w:r>
      <w:r w:rsidR="000312E2">
        <w:t>scopo</w:t>
      </w:r>
      <w:proofErr w:type="gramEnd"/>
      <w:r w:rsidR="000312E2">
        <w:t xml:space="preserve"> e limitações (final)</w:t>
      </w:r>
    </w:p>
    <w:p w:rsidR="000312E2" w:rsidRDefault="00105B72" w:rsidP="00256C19">
      <w:pPr>
        <w:pStyle w:val="Subalnea"/>
      </w:pPr>
      <w:proofErr w:type="gramStart"/>
      <w:r>
        <w:t>m</w:t>
      </w:r>
      <w:r w:rsidR="000312E2">
        <w:t>udanças</w:t>
      </w:r>
      <w:proofErr w:type="gramEnd"/>
      <w:r w:rsidR="000312E2">
        <w:t xml:space="preserve"> no escopo desde a última decisão</w:t>
      </w:r>
    </w:p>
    <w:p w:rsidR="000312E2" w:rsidRDefault="00105B72" w:rsidP="00256C19">
      <w:pPr>
        <w:pStyle w:val="Alnea"/>
      </w:pPr>
      <w:proofErr w:type="gramStart"/>
      <w:r>
        <w:t>s</w:t>
      </w:r>
      <w:r w:rsidR="000312E2">
        <w:t>olução</w:t>
      </w:r>
      <w:proofErr w:type="gramEnd"/>
      <w:r w:rsidR="000312E2">
        <w:t xml:space="preserve"> (final)</w:t>
      </w:r>
      <w:r w:rsidR="006A67AD">
        <w:t>:</w:t>
      </w:r>
    </w:p>
    <w:p w:rsidR="000312E2" w:rsidRDefault="00105B72" w:rsidP="00256C19">
      <w:pPr>
        <w:pStyle w:val="Subalnea"/>
      </w:pPr>
      <w:proofErr w:type="gramStart"/>
      <w:r>
        <w:t>s</w:t>
      </w:r>
      <w:r w:rsidR="000312E2">
        <w:t>istemas</w:t>
      </w:r>
      <w:proofErr w:type="gramEnd"/>
      <w:r w:rsidR="000312E2">
        <w:t xml:space="preserve"> envolvidos</w:t>
      </w:r>
      <w:r w:rsidR="00F50731">
        <w:t xml:space="preserve"> (quando aplicável)</w:t>
      </w:r>
    </w:p>
    <w:p w:rsidR="000312E2" w:rsidRDefault="00105B72" w:rsidP="00256C19">
      <w:pPr>
        <w:pStyle w:val="Subalnea"/>
      </w:pPr>
      <w:proofErr w:type="gramStart"/>
      <w:r>
        <w:t>v</w:t>
      </w:r>
      <w:r w:rsidR="000312E2">
        <w:t>isão</w:t>
      </w:r>
      <w:proofErr w:type="gramEnd"/>
      <w:r w:rsidR="000312E2">
        <w:t xml:space="preserve"> de arquitetura</w:t>
      </w:r>
      <w:r w:rsidR="00F50731">
        <w:t xml:space="preserve"> (quando aplicável)</w:t>
      </w:r>
    </w:p>
    <w:p w:rsidR="000312E2" w:rsidRDefault="00105B72" w:rsidP="00256C19">
      <w:pPr>
        <w:pStyle w:val="Subalnea"/>
      </w:pPr>
      <w:proofErr w:type="gramStart"/>
      <w:r>
        <w:t>i</w:t>
      </w:r>
      <w:r w:rsidR="00F50731">
        <w:t>mpactos</w:t>
      </w:r>
      <w:proofErr w:type="gramEnd"/>
      <w:r w:rsidR="00F50731">
        <w:t xml:space="preserve"> na infra</w:t>
      </w:r>
      <w:r w:rsidR="000312E2">
        <w:t>estrutura e segurança de TI</w:t>
      </w:r>
    </w:p>
    <w:p w:rsidR="000312E2" w:rsidRDefault="00105B72" w:rsidP="00256C19">
      <w:pPr>
        <w:pStyle w:val="Subalnea"/>
      </w:pPr>
      <w:proofErr w:type="gramStart"/>
      <w:r>
        <w:t>e</w:t>
      </w:r>
      <w:r w:rsidR="000312E2">
        <w:t>stratégia</w:t>
      </w:r>
      <w:proofErr w:type="gramEnd"/>
      <w:r w:rsidR="000312E2">
        <w:t xml:space="preserve"> de disponibilização (preliminar)</w:t>
      </w:r>
    </w:p>
    <w:p w:rsidR="000312E2" w:rsidRDefault="00105B72" w:rsidP="00256C19">
      <w:pPr>
        <w:pStyle w:val="Subalnea"/>
      </w:pPr>
      <w:proofErr w:type="gramStart"/>
      <w:r>
        <w:t>e</w:t>
      </w:r>
      <w:r w:rsidR="000312E2">
        <w:t>stratégia</w:t>
      </w:r>
      <w:proofErr w:type="gramEnd"/>
      <w:r w:rsidR="000312E2">
        <w:t xml:space="preserve"> para migração (preliminar</w:t>
      </w:r>
      <w:r w:rsidR="00F50731">
        <w:t>, quando aplicável</w:t>
      </w:r>
      <w:r w:rsidR="000312E2">
        <w:t>)</w:t>
      </w:r>
    </w:p>
    <w:p w:rsidR="000312E2" w:rsidRDefault="00105B72" w:rsidP="00256C19">
      <w:pPr>
        <w:pStyle w:val="Subalnea"/>
      </w:pPr>
      <w:proofErr w:type="gramStart"/>
      <w:r>
        <w:t>e</w:t>
      </w:r>
      <w:r w:rsidR="000312E2">
        <w:t>stratégia</w:t>
      </w:r>
      <w:proofErr w:type="gramEnd"/>
      <w:r w:rsidR="000312E2">
        <w:t xml:space="preserve"> de transição (preliminar</w:t>
      </w:r>
      <w:r w:rsidR="00F50731">
        <w:t>, quando aplicável</w:t>
      </w:r>
      <w:r w:rsidR="000312E2">
        <w:t>)</w:t>
      </w:r>
    </w:p>
    <w:p w:rsidR="000312E2" w:rsidRDefault="00D328A7" w:rsidP="00256C19">
      <w:pPr>
        <w:pStyle w:val="Alnea"/>
      </w:pPr>
      <w:proofErr w:type="gramStart"/>
      <w:r>
        <w:t>g</w:t>
      </w:r>
      <w:r w:rsidR="000312E2">
        <w:t>estão</w:t>
      </w:r>
      <w:proofErr w:type="gramEnd"/>
      <w:r w:rsidR="000312E2">
        <w:t xml:space="preserve"> de projetos</w:t>
      </w:r>
      <w:r w:rsidR="006A67AD">
        <w:t>:</w:t>
      </w:r>
    </w:p>
    <w:p w:rsidR="000312E2" w:rsidRDefault="00105B72" w:rsidP="00256C19">
      <w:pPr>
        <w:pStyle w:val="Subalnea"/>
      </w:pPr>
      <w:proofErr w:type="gramStart"/>
      <w:r>
        <w:t>c</w:t>
      </w:r>
      <w:r w:rsidR="000312E2">
        <w:t>ronograma</w:t>
      </w:r>
      <w:proofErr w:type="gramEnd"/>
      <w:r w:rsidR="000312E2">
        <w:t xml:space="preserve"> (final)</w:t>
      </w:r>
    </w:p>
    <w:p w:rsidR="000312E2" w:rsidRDefault="00105B72" w:rsidP="00256C19">
      <w:pPr>
        <w:pStyle w:val="Subalnea"/>
      </w:pPr>
      <w:proofErr w:type="gramStart"/>
      <w:r>
        <w:t>o</w:t>
      </w:r>
      <w:r w:rsidR="000312E2">
        <w:t>rçamento</w:t>
      </w:r>
      <w:proofErr w:type="gramEnd"/>
      <w:r w:rsidR="000312E2">
        <w:t xml:space="preserve"> (final</w:t>
      </w:r>
      <w:r w:rsidR="00A16DFA">
        <w:t>, quando aplicável</w:t>
      </w:r>
      <w:r w:rsidR="000312E2">
        <w:t>)</w:t>
      </w:r>
    </w:p>
    <w:p w:rsidR="000312E2" w:rsidRDefault="00105B72" w:rsidP="00256C19">
      <w:pPr>
        <w:pStyle w:val="Subalnea"/>
      </w:pPr>
      <w:proofErr w:type="gramStart"/>
      <w:r>
        <w:t>l</w:t>
      </w:r>
      <w:r w:rsidR="000312E2">
        <w:t>ista</w:t>
      </w:r>
      <w:proofErr w:type="gramEnd"/>
      <w:r w:rsidR="000312E2">
        <w:t xml:space="preserve"> de riscos (final)</w:t>
      </w:r>
    </w:p>
    <w:p w:rsidR="000312E2" w:rsidRDefault="00105B72" w:rsidP="00256C19">
      <w:pPr>
        <w:pStyle w:val="Subalnea"/>
      </w:pPr>
      <w:proofErr w:type="gramStart"/>
      <w:r>
        <w:lastRenderedPageBreak/>
        <w:t>n</w:t>
      </w:r>
      <w:r w:rsidR="000312E2">
        <w:t>ecessidades</w:t>
      </w:r>
      <w:proofErr w:type="gramEnd"/>
      <w:r w:rsidR="000312E2">
        <w:t xml:space="preserve"> de recursos (final)</w:t>
      </w:r>
    </w:p>
    <w:p w:rsidR="000312E2" w:rsidRDefault="00105B72" w:rsidP="00256C19">
      <w:pPr>
        <w:pStyle w:val="Subalnea"/>
      </w:pPr>
      <w:proofErr w:type="gramStart"/>
      <w:r>
        <w:t>l</w:t>
      </w:r>
      <w:r w:rsidR="000312E2">
        <w:t>ista</w:t>
      </w:r>
      <w:proofErr w:type="gramEnd"/>
      <w:r w:rsidR="000312E2">
        <w:t xml:space="preserve"> de interessados (final)</w:t>
      </w:r>
    </w:p>
    <w:p w:rsidR="000312E2" w:rsidRPr="00256C19" w:rsidRDefault="00105B72" w:rsidP="00256C19">
      <w:pPr>
        <w:pStyle w:val="Subalnea"/>
      </w:pPr>
      <w:proofErr w:type="gramStart"/>
      <w:r>
        <w:t>d</w:t>
      </w:r>
      <w:r w:rsidR="000312E2">
        <w:t>ependência</w:t>
      </w:r>
      <w:proofErr w:type="gramEnd"/>
      <w:r w:rsidR="000312E2">
        <w:t xml:space="preserve"> de outros projetos</w:t>
      </w:r>
      <w:r w:rsidR="00A16DFA">
        <w:t xml:space="preserve"> (quando aplicável)</w:t>
      </w:r>
    </w:p>
    <w:p w:rsidR="00046E1C" w:rsidRDefault="00046E1C" w:rsidP="00046E1C">
      <w:pPr>
        <w:pStyle w:val="Inciso"/>
      </w:pPr>
      <w:r>
        <w:t>As seguintes decisões são necessárias ao final da DDS</w:t>
      </w:r>
      <w:r w:rsidRPr="00227010">
        <w:t>:</w:t>
      </w:r>
    </w:p>
    <w:p w:rsidR="00046E1C" w:rsidRDefault="001A55CC" w:rsidP="00256C19">
      <w:pPr>
        <w:pStyle w:val="Alnea"/>
      </w:pPr>
      <w:proofErr w:type="gramStart"/>
      <w:r>
        <w:t>a</w:t>
      </w:r>
      <w:r w:rsidR="00046E1C">
        <w:t>provar</w:t>
      </w:r>
      <w:proofErr w:type="gramEnd"/>
      <w:r w:rsidR="00046E1C">
        <w:t xml:space="preserve"> e congelar o escopo final;</w:t>
      </w:r>
    </w:p>
    <w:p w:rsidR="00046E1C" w:rsidRDefault="001A55CC" w:rsidP="00256C19">
      <w:pPr>
        <w:pStyle w:val="Alnea"/>
      </w:pPr>
      <w:proofErr w:type="gramStart"/>
      <w:r>
        <w:t>a</w:t>
      </w:r>
      <w:r w:rsidR="00046E1C">
        <w:t>provar</w:t>
      </w:r>
      <w:proofErr w:type="gramEnd"/>
      <w:r w:rsidR="00046E1C">
        <w:t xml:space="preserve"> o desenho da solução;</w:t>
      </w:r>
    </w:p>
    <w:p w:rsidR="00046E1C" w:rsidRDefault="001A55CC" w:rsidP="00256C19">
      <w:pPr>
        <w:pStyle w:val="Alnea"/>
      </w:pPr>
      <w:proofErr w:type="gramStart"/>
      <w:r>
        <w:t>a</w:t>
      </w:r>
      <w:r w:rsidR="00046E1C">
        <w:t>provar</w:t>
      </w:r>
      <w:proofErr w:type="gramEnd"/>
      <w:r w:rsidR="00046E1C">
        <w:t xml:space="preserve"> o cronograma e orçamento;</w:t>
      </w:r>
    </w:p>
    <w:p w:rsidR="00046E1C" w:rsidRDefault="001A55CC" w:rsidP="00256C19">
      <w:pPr>
        <w:pStyle w:val="Alnea"/>
      </w:pPr>
      <w:proofErr w:type="gramStart"/>
      <w:r>
        <w:t>g</w:t>
      </w:r>
      <w:r w:rsidR="00046E1C">
        <w:t>arantir</w:t>
      </w:r>
      <w:proofErr w:type="gramEnd"/>
      <w:r w:rsidR="00046E1C">
        <w:t xml:space="preserve"> a alocação da equipe do projeto, e;</w:t>
      </w:r>
    </w:p>
    <w:p w:rsidR="00F043FA" w:rsidRDefault="001A55CC" w:rsidP="00256C19">
      <w:pPr>
        <w:pStyle w:val="Alnea"/>
      </w:pPr>
      <w:proofErr w:type="gramStart"/>
      <w:r>
        <w:t>g</w:t>
      </w:r>
      <w:r w:rsidR="00046E1C">
        <w:t>arantir</w:t>
      </w:r>
      <w:proofErr w:type="gramEnd"/>
      <w:r w:rsidR="00046E1C">
        <w:t xml:space="preserve"> o envolvimento dos principais interessados.</w:t>
      </w:r>
    </w:p>
    <w:p w:rsidR="00F043FA" w:rsidRDefault="00F043FA" w:rsidP="00256C19">
      <w:pPr>
        <w:pStyle w:val="Pargrafo"/>
      </w:pPr>
      <w:r>
        <w:t>Decisão de Validação – DV:</w:t>
      </w:r>
    </w:p>
    <w:p w:rsidR="00F043FA" w:rsidRDefault="00327A47" w:rsidP="00256C19">
      <w:pPr>
        <w:pStyle w:val="Inciso"/>
      </w:pPr>
      <w:r>
        <w:t>O</w:t>
      </w:r>
      <w:r w:rsidR="00F043FA">
        <w:t xml:space="preserve"> objetivo da DV é avaliar se a solução técnica está pronta para início da validação da solução </w:t>
      </w:r>
      <w:r>
        <w:t>pelos usuários-chaves</w:t>
      </w:r>
      <w:r w:rsidR="00F043FA">
        <w:t>.</w:t>
      </w:r>
    </w:p>
    <w:p w:rsidR="00A836C8" w:rsidRDefault="00A836C8" w:rsidP="00256C19">
      <w:pPr>
        <w:pStyle w:val="Inciso"/>
      </w:pPr>
      <w:r w:rsidRPr="00A836C8">
        <w:t xml:space="preserve">Na fase de </w:t>
      </w:r>
      <w:r>
        <w:t>Desenvolvimento da Solução</w:t>
      </w:r>
      <w:r w:rsidRPr="00A836C8">
        <w:t xml:space="preserve">, que ocorre anteriormente à </w:t>
      </w:r>
      <w:r>
        <w:t>DV</w:t>
      </w:r>
      <w:r w:rsidRPr="00A836C8">
        <w:t>, é recomendada a realização dos seguintes processos da MGP-SISP:</w:t>
      </w:r>
    </w:p>
    <w:p w:rsidR="00A836C8" w:rsidRDefault="001A55CC" w:rsidP="00256C19">
      <w:pPr>
        <w:pStyle w:val="Alnea"/>
      </w:pPr>
      <w:proofErr w:type="gramStart"/>
      <w:r>
        <w:t>o</w:t>
      </w:r>
      <w:r w:rsidR="00A836C8">
        <w:t>rientar</w:t>
      </w:r>
      <w:proofErr w:type="gramEnd"/>
      <w:r w:rsidR="00A836C8">
        <w:t xml:space="preserve"> e Gerenciar a fase de Execução do Projeto;</w:t>
      </w:r>
    </w:p>
    <w:p w:rsidR="00A836C8" w:rsidRDefault="001A55CC" w:rsidP="00256C19">
      <w:pPr>
        <w:pStyle w:val="Alnea"/>
      </w:pPr>
      <w:proofErr w:type="gramStart"/>
      <w:r>
        <w:t>g</w:t>
      </w:r>
      <w:r w:rsidR="00A836C8">
        <w:t>erenciar</w:t>
      </w:r>
      <w:proofErr w:type="gramEnd"/>
      <w:r w:rsidR="00A836C8">
        <w:t xml:space="preserve"> Aquisições e Contratações, obrigatório em caso de contratação de solução de TI – IN04/2010;</w:t>
      </w:r>
    </w:p>
    <w:p w:rsidR="00A836C8" w:rsidRDefault="001A55CC" w:rsidP="00256C19">
      <w:pPr>
        <w:pStyle w:val="Alnea"/>
      </w:pPr>
      <w:proofErr w:type="gramStart"/>
      <w:r>
        <w:t>d</w:t>
      </w:r>
      <w:r w:rsidR="00A836C8">
        <w:t>istribuir</w:t>
      </w:r>
      <w:proofErr w:type="gramEnd"/>
      <w:r w:rsidR="00A836C8">
        <w:t xml:space="preserve"> Informações aos membros da equipe do projeto, aos usuários-chave e a todos os atores que possuem interesse no sucesso do projeto; e</w:t>
      </w:r>
    </w:p>
    <w:p w:rsidR="00A836C8" w:rsidRPr="00256C19" w:rsidRDefault="001A55CC" w:rsidP="00256C19">
      <w:pPr>
        <w:pStyle w:val="Alnea"/>
      </w:pPr>
      <w:proofErr w:type="gramStart"/>
      <w:r>
        <w:t>d</w:t>
      </w:r>
      <w:r w:rsidR="00A836C8">
        <w:t>ocumentar</w:t>
      </w:r>
      <w:proofErr w:type="gramEnd"/>
      <w:r w:rsidR="00A836C8">
        <w:t xml:space="preserve"> Lições Aprendidas.</w:t>
      </w:r>
    </w:p>
    <w:p w:rsidR="00A836C8" w:rsidRPr="00A836C8" w:rsidRDefault="00A836C8" w:rsidP="00256C19">
      <w:pPr>
        <w:pStyle w:val="Inciso"/>
      </w:pPr>
      <w:r w:rsidRPr="00A836C8">
        <w:t xml:space="preserve">Os seguintes produtos são previstos para realização da </w:t>
      </w:r>
      <w:r>
        <w:t>DV</w:t>
      </w:r>
      <w:r w:rsidRPr="00A836C8">
        <w:t>:</w:t>
      </w:r>
    </w:p>
    <w:p w:rsidR="00A836C8" w:rsidRDefault="001A55CC" w:rsidP="00256C19">
      <w:pPr>
        <w:pStyle w:val="Alnea"/>
      </w:pPr>
      <w:proofErr w:type="gramStart"/>
      <w:r>
        <w:t>o</w:t>
      </w:r>
      <w:r w:rsidR="00A836C8">
        <w:t>bjetivos</w:t>
      </w:r>
      <w:proofErr w:type="gramEnd"/>
      <w:r w:rsidR="00A836C8">
        <w:t xml:space="preserve"> de negócio</w:t>
      </w:r>
      <w:r w:rsidR="006A67AD">
        <w:t>: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scopo</w:t>
      </w:r>
      <w:proofErr w:type="gramEnd"/>
      <w:r w:rsidR="00A836C8">
        <w:t xml:space="preserve"> e limitações (refinados)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m</w:t>
      </w:r>
      <w:r w:rsidR="00A836C8">
        <w:t>udanças</w:t>
      </w:r>
      <w:proofErr w:type="gramEnd"/>
      <w:r w:rsidR="00A836C8">
        <w:t xml:space="preserve"> no escopo desde a última decisão</w:t>
      </w:r>
      <w:r w:rsidR="006A67AD">
        <w:t>.</w:t>
      </w:r>
    </w:p>
    <w:p w:rsidR="00A836C8" w:rsidRDefault="001A55CC" w:rsidP="00256C19">
      <w:pPr>
        <w:pStyle w:val="Alnea"/>
      </w:pPr>
      <w:proofErr w:type="gramStart"/>
      <w:r>
        <w:t>s</w:t>
      </w:r>
      <w:r w:rsidR="00A836C8">
        <w:t>olução</w:t>
      </w:r>
      <w:proofErr w:type="gramEnd"/>
      <w:r w:rsidR="006A67AD">
        <w:t>:</w:t>
      </w:r>
    </w:p>
    <w:p w:rsidR="00A836C8" w:rsidRDefault="001A55CC" w:rsidP="00256C19">
      <w:pPr>
        <w:pStyle w:val="Subalnea"/>
      </w:pPr>
      <w:proofErr w:type="gramStart"/>
      <w:r>
        <w:t>s</w:t>
      </w:r>
      <w:r w:rsidR="00A836C8">
        <w:t>olução</w:t>
      </w:r>
      <w:proofErr w:type="gramEnd"/>
      <w:r w:rsidR="00A836C8">
        <w:t xml:space="preserve"> (refinada)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r</w:t>
      </w:r>
      <w:r w:rsidR="00A836C8">
        <w:t>esultados</w:t>
      </w:r>
      <w:proofErr w:type="gramEnd"/>
      <w:r w:rsidR="00A836C8">
        <w:t xml:space="preserve"> de testes</w:t>
      </w:r>
      <w:r w:rsidR="00991365">
        <w:t xml:space="preserve"> (quando aplicável)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stratégia</w:t>
      </w:r>
      <w:proofErr w:type="gramEnd"/>
      <w:r w:rsidR="00A836C8">
        <w:t xml:space="preserve"> de validação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stratégia</w:t>
      </w:r>
      <w:proofErr w:type="gramEnd"/>
      <w:r w:rsidR="00A836C8">
        <w:t xml:space="preserve"> de disponibilização (final)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stratégia</w:t>
      </w:r>
      <w:proofErr w:type="gramEnd"/>
      <w:r w:rsidR="00A836C8">
        <w:t xml:space="preserve"> para migração </w:t>
      </w:r>
      <w:r w:rsidR="00991365">
        <w:t>(quando aplicável)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stratégia</w:t>
      </w:r>
      <w:proofErr w:type="gramEnd"/>
      <w:r w:rsidR="00A836C8">
        <w:t xml:space="preserve"> de transição </w:t>
      </w:r>
      <w:r w:rsidR="00991365">
        <w:t>(quando aplicável)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e</w:t>
      </w:r>
      <w:r w:rsidR="00A836C8">
        <w:t>strutura</w:t>
      </w:r>
      <w:proofErr w:type="gramEnd"/>
      <w:r w:rsidR="00A836C8">
        <w:t xml:space="preserve"> de suporte e manutenção (preliminar)</w:t>
      </w:r>
      <w:r w:rsidR="006A67AD">
        <w:t>.</w:t>
      </w:r>
    </w:p>
    <w:p w:rsidR="00A836C8" w:rsidRDefault="001A55CC" w:rsidP="00256C19">
      <w:pPr>
        <w:pStyle w:val="Alnea"/>
      </w:pPr>
      <w:proofErr w:type="gramStart"/>
      <w:r>
        <w:lastRenderedPageBreak/>
        <w:t>g</w:t>
      </w:r>
      <w:r w:rsidR="00A836C8">
        <w:t>estão</w:t>
      </w:r>
      <w:proofErr w:type="gramEnd"/>
      <w:r w:rsidR="00A836C8">
        <w:t xml:space="preserve"> de projetos</w:t>
      </w:r>
      <w:r w:rsidR="006A67AD">
        <w:t>:</w:t>
      </w:r>
    </w:p>
    <w:p w:rsidR="00A836C8" w:rsidRDefault="001A55CC" w:rsidP="00256C19">
      <w:pPr>
        <w:pStyle w:val="Subalnea"/>
      </w:pPr>
      <w:proofErr w:type="gramStart"/>
      <w:r>
        <w:t>c</w:t>
      </w:r>
      <w:r w:rsidR="00A836C8">
        <w:t>ronograma</w:t>
      </w:r>
      <w:proofErr w:type="gramEnd"/>
      <w:r w:rsidR="00A836C8">
        <w:t xml:space="preserve"> (final)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o</w:t>
      </w:r>
      <w:r w:rsidR="00A836C8">
        <w:t>rçamento</w:t>
      </w:r>
      <w:proofErr w:type="gramEnd"/>
      <w:r w:rsidR="00A836C8">
        <w:t xml:space="preserve"> (final</w:t>
      </w:r>
      <w:r w:rsidR="00991365">
        <w:t xml:space="preserve"> e quando aplicável</w:t>
      </w:r>
      <w:r w:rsidR="00A836C8">
        <w:t>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l</w:t>
      </w:r>
      <w:r w:rsidR="00A836C8">
        <w:t>ista</w:t>
      </w:r>
      <w:proofErr w:type="gramEnd"/>
      <w:r w:rsidR="00A836C8">
        <w:t xml:space="preserve"> de riscos (final)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n</w:t>
      </w:r>
      <w:r w:rsidR="00A836C8">
        <w:t>ecessidades</w:t>
      </w:r>
      <w:proofErr w:type="gramEnd"/>
      <w:r w:rsidR="00A836C8">
        <w:t xml:space="preserve"> de recursos (final)</w:t>
      </w:r>
      <w:r w:rsidR="006A67AD">
        <w:t>;</w:t>
      </w:r>
    </w:p>
    <w:p w:rsidR="00A836C8" w:rsidRDefault="001A55CC" w:rsidP="00256C19">
      <w:pPr>
        <w:pStyle w:val="Subalnea"/>
      </w:pPr>
      <w:proofErr w:type="gramStart"/>
      <w:r>
        <w:t>l</w:t>
      </w:r>
      <w:r w:rsidR="00A836C8">
        <w:t>ista</w:t>
      </w:r>
      <w:proofErr w:type="gramEnd"/>
      <w:r w:rsidR="00A836C8">
        <w:t xml:space="preserve"> de interessados (final)</w:t>
      </w:r>
      <w:r w:rsidR="006A67AD">
        <w:t>;</w:t>
      </w:r>
    </w:p>
    <w:p w:rsidR="00F043FA" w:rsidRDefault="001A55CC" w:rsidP="00256C19">
      <w:pPr>
        <w:pStyle w:val="Subalnea"/>
      </w:pPr>
      <w:proofErr w:type="gramStart"/>
      <w:r>
        <w:t>d</w:t>
      </w:r>
      <w:r w:rsidR="00A836C8">
        <w:t>ependência</w:t>
      </w:r>
      <w:proofErr w:type="gramEnd"/>
      <w:r w:rsidR="00A836C8">
        <w:t xml:space="preserve"> de outros projetos</w:t>
      </w:r>
      <w:r w:rsidR="00991365">
        <w:t xml:space="preserve"> (quando aplicável)</w:t>
      </w:r>
      <w:r w:rsidR="006A67AD">
        <w:t>.</w:t>
      </w:r>
    </w:p>
    <w:p w:rsidR="00F043FA" w:rsidRDefault="004406A2" w:rsidP="00256C19">
      <w:pPr>
        <w:pStyle w:val="Inciso"/>
      </w:pPr>
      <w:r w:rsidRPr="004406A2">
        <w:t xml:space="preserve">As seguintes decisões são necessárias ao final da </w:t>
      </w:r>
      <w:r>
        <w:t>DV</w:t>
      </w:r>
      <w:r w:rsidRPr="004406A2">
        <w:t>:</w:t>
      </w:r>
    </w:p>
    <w:p w:rsidR="004406A2" w:rsidRDefault="001A55CC" w:rsidP="00256C19">
      <w:pPr>
        <w:pStyle w:val="Alnea"/>
      </w:pPr>
      <w:proofErr w:type="gramStart"/>
      <w:r>
        <w:t>a</w:t>
      </w:r>
      <w:r w:rsidR="004406A2">
        <w:t>provar</w:t>
      </w:r>
      <w:proofErr w:type="gramEnd"/>
      <w:r w:rsidR="004406A2">
        <w:t xml:space="preserve"> a qualidade da solução desenvolvida</w:t>
      </w:r>
      <w:r w:rsidR="006A67AD">
        <w:t>:</w:t>
      </w:r>
    </w:p>
    <w:p w:rsidR="004406A2" w:rsidRDefault="001A55CC" w:rsidP="00256C19">
      <w:pPr>
        <w:pStyle w:val="Subalnea"/>
      </w:pPr>
      <w:proofErr w:type="gramStart"/>
      <w:r>
        <w:t>c</w:t>
      </w:r>
      <w:r w:rsidR="004406A2">
        <w:t>obertura</w:t>
      </w:r>
      <w:proofErr w:type="gramEnd"/>
      <w:r w:rsidR="004406A2">
        <w:t xml:space="preserve"> das necessidades / especificações;</w:t>
      </w:r>
    </w:p>
    <w:p w:rsidR="004406A2" w:rsidRDefault="001A55CC" w:rsidP="00256C19">
      <w:pPr>
        <w:pStyle w:val="Subalnea"/>
      </w:pPr>
      <w:proofErr w:type="gramStart"/>
      <w:r>
        <w:t>a</w:t>
      </w:r>
      <w:r w:rsidR="004406A2">
        <w:t>derência</w:t>
      </w:r>
      <w:proofErr w:type="gramEnd"/>
      <w:r w:rsidR="004406A2">
        <w:t xml:space="preserve"> aos padrões de qualidade e segurança;</w:t>
      </w:r>
    </w:p>
    <w:p w:rsidR="004406A2" w:rsidRDefault="001A55CC" w:rsidP="00256C19">
      <w:pPr>
        <w:pStyle w:val="Subalnea"/>
      </w:pPr>
      <w:proofErr w:type="gramStart"/>
      <w:r>
        <w:t>i</w:t>
      </w:r>
      <w:r w:rsidR="004406A2">
        <w:t>mpacto</w:t>
      </w:r>
      <w:proofErr w:type="gramEnd"/>
      <w:r w:rsidR="004406A2">
        <w:t xml:space="preserve"> dos defeitos residuais, e;</w:t>
      </w:r>
    </w:p>
    <w:p w:rsidR="00F043FA" w:rsidRDefault="001A55CC" w:rsidP="00256C19">
      <w:pPr>
        <w:pStyle w:val="Alnea"/>
      </w:pPr>
      <w:proofErr w:type="gramStart"/>
      <w:r>
        <w:t>a</w:t>
      </w:r>
      <w:r w:rsidR="004406A2">
        <w:t>provar</w:t>
      </w:r>
      <w:proofErr w:type="gramEnd"/>
      <w:r w:rsidR="004406A2">
        <w:t xml:space="preserve"> o início de validação da solução.</w:t>
      </w:r>
    </w:p>
    <w:p w:rsidR="00F043FA" w:rsidRDefault="00F043FA" w:rsidP="00256C19">
      <w:pPr>
        <w:pStyle w:val="Pargrafo"/>
      </w:pPr>
      <w:r>
        <w:t>Decisão de Disponibilização – DD:</w:t>
      </w:r>
    </w:p>
    <w:p w:rsidR="00F043FA" w:rsidRDefault="004406A2" w:rsidP="00256C19">
      <w:pPr>
        <w:pStyle w:val="Inciso"/>
      </w:pPr>
      <w:r>
        <w:t>O</w:t>
      </w:r>
      <w:r w:rsidR="00F043FA">
        <w:t xml:space="preserve"> objetivo da DD é avaliar se a solução técnica tem maturidade para ser implantada e se a organização está preparada para recebê-la;</w:t>
      </w:r>
    </w:p>
    <w:p w:rsidR="00BA180D" w:rsidRDefault="00BA180D" w:rsidP="00BA180D">
      <w:pPr>
        <w:pStyle w:val="Inciso"/>
      </w:pPr>
      <w:r w:rsidRPr="00A836C8">
        <w:t xml:space="preserve">Na fase de </w:t>
      </w:r>
      <w:r>
        <w:t>Validação</w:t>
      </w:r>
      <w:r w:rsidRPr="00A836C8">
        <w:t xml:space="preserve">, que ocorre anteriormente à </w:t>
      </w:r>
      <w:r>
        <w:t>DD</w:t>
      </w:r>
      <w:r w:rsidRPr="00A836C8">
        <w:t>, é recomendada a realização dos seguintes processos da MGP-SISP:</w:t>
      </w:r>
    </w:p>
    <w:p w:rsidR="004406A2" w:rsidRDefault="001A55CC" w:rsidP="00256C19">
      <w:pPr>
        <w:pStyle w:val="Alnea"/>
      </w:pPr>
      <w:proofErr w:type="gramStart"/>
      <w:r>
        <w:t>r</w:t>
      </w:r>
      <w:r w:rsidR="004406A2">
        <w:t>ealizar</w:t>
      </w:r>
      <w:proofErr w:type="gramEnd"/>
      <w:r w:rsidR="004406A2">
        <w:t xml:space="preserve"> Disponibilização das Entregas;</w:t>
      </w:r>
    </w:p>
    <w:p w:rsidR="004406A2" w:rsidRDefault="001A55CC" w:rsidP="00256C19">
      <w:pPr>
        <w:pStyle w:val="Alnea"/>
      </w:pPr>
      <w:proofErr w:type="gramStart"/>
      <w:r>
        <w:t>e</w:t>
      </w:r>
      <w:r w:rsidR="004406A2">
        <w:t>laborar</w:t>
      </w:r>
      <w:proofErr w:type="gramEnd"/>
      <w:r w:rsidR="004406A2">
        <w:t xml:space="preserve"> aceite das Entregas; e</w:t>
      </w:r>
    </w:p>
    <w:p w:rsidR="004406A2" w:rsidRDefault="001A55CC" w:rsidP="00256C19">
      <w:pPr>
        <w:pStyle w:val="Alnea"/>
      </w:pPr>
      <w:proofErr w:type="gramStart"/>
      <w:r>
        <w:t>p</w:t>
      </w:r>
      <w:r w:rsidR="004406A2">
        <w:t>lanejar</w:t>
      </w:r>
      <w:proofErr w:type="gramEnd"/>
      <w:r w:rsidR="004406A2">
        <w:t xml:space="preserve"> a disponibilização da solução.</w:t>
      </w:r>
    </w:p>
    <w:p w:rsidR="00AA57A1" w:rsidRPr="00A836C8" w:rsidRDefault="00AA57A1" w:rsidP="00AA57A1">
      <w:pPr>
        <w:pStyle w:val="Inciso"/>
      </w:pPr>
      <w:r w:rsidRPr="00A836C8">
        <w:t xml:space="preserve">Os seguintes produtos são previstos para realização da </w:t>
      </w:r>
      <w:r>
        <w:t>DD</w:t>
      </w:r>
      <w:r w:rsidRPr="00A836C8">
        <w:t>:</w:t>
      </w:r>
    </w:p>
    <w:p w:rsidR="00AA57A1" w:rsidRDefault="001A55CC" w:rsidP="00256C19">
      <w:pPr>
        <w:pStyle w:val="Alnea"/>
      </w:pPr>
      <w:proofErr w:type="gramStart"/>
      <w:r>
        <w:t>o</w:t>
      </w:r>
      <w:r w:rsidR="00AA57A1">
        <w:t>bjetivos</w:t>
      </w:r>
      <w:proofErr w:type="gramEnd"/>
      <w:r w:rsidR="00AA57A1">
        <w:t xml:space="preserve"> de negócio</w:t>
      </w:r>
      <w:r w:rsidR="006A67AD">
        <w:t>:</w:t>
      </w:r>
    </w:p>
    <w:p w:rsidR="00AA57A1" w:rsidRDefault="001A55CC" w:rsidP="00256C19">
      <w:pPr>
        <w:pStyle w:val="Subalnea"/>
      </w:pPr>
      <w:proofErr w:type="gramStart"/>
      <w:r>
        <w:t>e</w:t>
      </w:r>
      <w:r w:rsidR="00AA57A1">
        <w:t>scopo</w:t>
      </w:r>
      <w:proofErr w:type="gramEnd"/>
      <w:r w:rsidR="00AA57A1">
        <w:t xml:space="preserve"> e limitações (refinados)</w:t>
      </w:r>
      <w:r w:rsidR="006A67AD">
        <w:t>;</w:t>
      </w:r>
    </w:p>
    <w:p w:rsidR="00AA57A1" w:rsidRDefault="001A55CC" w:rsidP="00256C19">
      <w:pPr>
        <w:pStyle w:val="Subalnea"/>
      </w:pPr>
      <w:proofErr w:type="gramStart"/>
      <w:r>
        <w:t>m</w:t>
      </w:r>
      <w:r w:rsidR="00AA57A1">
        <w:t>udanças</w:t>
      </w:r>
      <w:proofErr w:type="gramEnd"/>
      <w:r w:rsidR="00AA57A1">
        <w:t xml:space="preserve"> no escopo desde a última decisão</w:t>
      </w:r>
      <w:r w:rsidR="006A67AD">
        <w:t>.</w:t>
      </w:r>
    </w:p>
    <w:p w:rsidR="00AA57A1" w:rsidRDefault="00D328A7" w:rsidP="00256C19">
      <w:pPr>
        <w:pStyle w:val="Alnea"/>
      </w:pPr>
      <w:proofErr w:type="gramStart"/>
      <w:r>
        <w:t>s</w:t>
      </w:r>
      <w:r w:rsidR="00AA57A1">
        <w:t>olução</w:t>
      </w:r>
      <w:proofErr w:type="gramEnd"/>
      <w:r w:rsidR="006A67AD">
        <w:t>:</w:t>
      </w:r>
    </w:p>
    <w:p w:rsidR="00AA57A1" w:rsidRDefault="001A55CC" w:rsidP="00256C19">
      <w:pPr>
        <w:pStyle w:val="Subalnea"/>
      </w:pPr>
      <w:proofErr w:type="gramStart"/>
      <w:r>
        <w:t>r</w:t>
      </w:r>
      <w:r w:rsidR="00AA57A1">
        <w:t>esultados</w:t>
      </w:r>
      <w:proofErr w:type="gramEnd"/>
      <w:r w:rsidR="00AA57A1">
        <w:t xml:space="preserve"> da validação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e</w:t>
      </w:r>
      <w:r w:rsidR="00AA57A1">
        <w:t>stratégia</w:t>
      </w:r>
      <w:proofErr w:type="gramEnd"/>
      <w:r w:rsidR="00AA57A1">
        <w:t xml:space="preserve"> de disponibilização</w:t>
      </w:r>
      <w:r w:rsidR="007B2DFF">
        <w:t xml:space="preserve"> </w:t>
      </w:r>
      <w:r w:rsidR="00AA57A1">
        <w:t>(refinada)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e</w:t>
      </w:r>
      <w:r w:rsidR="00AA57A1">
        <w:t>stratégia</w:t>
      </w:r>
      <w:proofErr w:type="gramEnd"/>
      <w:r w:rsidR="00AA57A1">
        <w:t xml:space="preserve"> para migração</w:t>
      </w:r>
      <w:r w:rsidR="007B2DFF">
        <w:t xml:space="preserve"> (quando aplicável)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e</w:t>
      </w:r>
      <w:r w:rsidR="00AA57A1">
        <w:t>stratégia</w:t>
      </w:r>
      <w:proofErr w:type="gramEnd"/>
      <w:r w:rsidR="00AA57A1">
        <w:t xml:space="preserve"> de transição</w:t>
      </w:r>
      <w:r w:rsidR="007B2DFF">
        <w:t xml:space="preserve"> (quando aplicável)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e</w:t>
      </w:r>
      <w:r w:rsidR="00AA57A1">
        <w:t>strutura</w:t>
      </w:r>
      <w:proofErr w:type="gramEnd"/>
      <w:r w:rsidR="00AA57A1">
        <w:t xml:space="preserve"> de suporte e manutenção (final)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lastRenderedPageBreak/>
        <w:t>t</w:t>
      </w:r>
      <w:r w:rsidR="00AA57A1">
        <w:t>reinamento</w:t>
      </w:r>
      <w:proofErr w:type="gramEnd"/>
      <w:r w:rsidR="00AA57A1">
        <w:t xml:space="preserve"> dos usuários (final).</w:t>
      </w:r>
    </w:p>
    <w:p w:rsidR="00AA57A1" w:rsidRDefault="001A55CC" w:rsidP="00256C19">
      <w:pPr>
        <w:pStyle w:val="Alnea"/>
      </w:pPr>
      <w:proofErr w:type="gramStart"/>
      <w:r>
        <w:t>g</w:t>
      </w:r>
      <w:r w:rsidR="00AA57A1">
        <w:t>estão</w:t>
      </w:r>
      <w:proofErr w:type="gramEnd"/>
      <w:r w:rsidR="00AA57A1">
        <w:t xml:space="preserve"> de projetos</w:t>
      </w:r>
      <w:r w:rsidR="00D8760D">
        <w:t>:</w:t>
      </w:r>
    </w:p>
    <w:p w:rsidR="00AA57A1" w:rsidRDefault="001A55CC" w:rsidP="00256C19">
      <w:pPr>
        <w:pStyle w:val="Subalnea"/>
      </w:pPr>
      <w:proofErr w:type="gramStart"/>
      <w:r>
        <w:t>c</w:t>
      </w:r>
      <w:r w:rsidR="00AA57A1">
        <w:t>ronograma</w:t>
      </w:r>
      <w:proofErr w:type="gramEnd"/>
      <w:r w:rsidR="00AA57A1">
        <w:t xml:space="preserve"> (refinado)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o</w:t>
      </w:r>
      <w:r w:rsidR="00AA57A1">
        <w:t>rçamento</w:t>
      </w:r>
      <w:proofErr w:type="gramEnd"/>
      <w:r w:rsidR="00AA57A1">
        <w:t xml:space="preserve"> (refinado</w:t>
      </w:r>
      <w:r w:rsidR="007B2DFF">
        <w:t>, quando aplicável</w:t>
      </w:r>
      <w:r w:rsidR="00AA57A1">
        <w:t>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l</w:t>
      </w:r>
      <w:r w:rsidR="00AA57A1">
        <w:t>ista</w:t>
      </w:r>
      <w:proofErr w:type="gramEnd"/>
      <w:r w:rsidR="00AA57A1">
        <w:t xml:space="preserve"> de riscos (refinada)</w:t>
      </w:r>
      <w:r w:rsidR="00D8760D">
        <w:t>;</w:t>
      </w:r>
    </w:p>
    <w:p w:rsidR="00AA57A1" w:rsidRDefault="001A55CC" w:rsidP="00256C19">
      <w:pPr>
        <w:pStyle w:val="Subalnea"/>
      </w:pPr>
      <w:proofErr w:type="gramStart"/>
      <w:r>
        <w:t>n</w:t>
      </w:r>
      <w:r w:rsidR="00AA57A1">
        <w:t>ecessidades</w:t>
      </w:r>
      <w:proofErr w:type="gramEnd"/>
      <w:r w:rsidR="00AA57A1">
        <w:t xml:space="preserve"> de recursos (refinado)</w:t>
      </w:r>
      <w:r w:rsidR="00D8760D">
        <w:t>;</w:t>
      </w:r>
    </w:p>
    <w:p w:rsidR="00F043FA" w:rsidRDefault="001A55CC" w:rsidP="00256C19">
      <w:pPr>
        <w:pStyle w:val="Subalnea"/>
      </w:pPr>
      <w:proofErr w:type="gramStart"/>
      <w:r>
        <w:t>l</w:t>
      </w:r>
      <w:r w:rsidR="00AA57A1">
        <w:t>ista</w:t>
      </w:r>
      <w:proofErr w:type="gramEnd"/>
      <w:r w:rsidR="00AA57A1">
        <w:t xml:space="preserve"> de interessados (refinada)</w:t>
      </w:r>
      <w:r w:rsidR="00D8760D">
        <w:t>.</w:t>
      </w:r>
    </w:p>
    <w:p w:rsidR="007B2DFF" w:rsidRDefault="007B2DFF" w:rsidP="007B2DFF">
      <w:pPr>
        <w:pStyle w:val="Inciso"/>
      </w:pPr>
      <w:r w:rsidRPr="004406A2">
        <w:t xml:space="preserve">As seguintes decisões são necessárias ao final da </w:t>
      </w:r>
      <w:r>
        <w:t>DD</w:t>
      </w:r>
      <w:r w:rsidRPr="004406A2">
        <w:t>:</w:t>
      </w:r>
    </w:p>
    <w:p w:rsidR="001D5819" w:rsidRDefault="001A55CC" w:rsidP="00256C19">
      <w:pPr>
        <w:pStyle w:val="Alnea"/>
      </w:pPr>
      <w:proofErr w:type="gramStart"/>
      <w:r>
        <w:t>a</w:t>
      </w:r>
      <w:r w:rsidR="001D5819">
        <w:t>provar</w:t>
      </w:r>
      <w:proofErr w:type="gramEnd"/>
      <w:r w:rsidR="001D5819">
        <w:t xml:space="preserve"> a qualidade da solução desenvolvida</w:t>
      </w:r>
      <w:r w:rsidR="000D2A4B">
        <w:t>:</w:t>
      </w:r>
    </w:p>
    <w:p w:rsidR="001D5819" w:rsidRDefault="001A55CC" w:rsidP="00256C19">
      <w:pPr>
        <w:pStyle w:val="Subalnea"/>
      </w:pPr>
      <w:proofErr w:type="gramStart"/>
      <w:r>
        <w:t>c</w:t>
      </w:r>
      <w:r w:rsidR="001D5819">
        <w:t>obertura</w:t>
      </w:r>
      <w:proofErr w:type="gramEnd"/>
      <w:r w:rsidR="001D5819">
        <w:t xml:space="preserve"> das necessidades / especificação</w:t>
      </w:r>
      <w:r w:rsidR="000D2A4B">
        <w:t>;</w:t>
      </w:r>
    </w:p>
    <w:p w:rsidR="001D5819" w:rsidRDefault="001A55CC" w:rsidP="00256C19">
      <w:pPr>
        <w:pStyle w:val="Subalnea"/>
      </w:pPr>
      <w:proofErr w:type="gramStart"/>
      <w:r>
        <w:t>a</w:t>
      </w:r>
      <w:r w:rsidR="001D5819">
        <w:t>derência</w:t>
      </w:r>
      <w:proofErr w:type="gramEnd"/>
      <w:r w:rsidR="001D5819">
        <w:t xml:space="preserve"> aos padrões de qualidade e segurança</w:t>
      </w:r>
      <w:r w:rsidR="000D2A4B">
        <w:t>;</w:t>
      </w:r>
    </w:p>
    <w:p w:rsidR="001D5819" w:rsidRDefault="001A55CC" w:rsidP="00256C19">
      <w:pPr>
        <w:pStyle w:val="Subalnea"/>
      </w:pPr>
      <w:proofErr w:type="gramStart"/>
      <w:r>
        <w:t>i</w:t>
      </w:r>
      <w:r w:rsidR="001D5819">
        <w:t>mpacto</w:t>
      </w:r>
      <w:proofErr w:type="gramEnd"/>
      <w:r w:rsidR="001D5819">
        <w:t xml:space="preserve"> dos defeitos residuais</w:t>
      </w:r>
      <w:r w:rsidR="000D2A4B">
        <w:t>.</w:t>
      </w:r>
    </w:p>
    <w:p w:rsidR="001D5819" w:rsidRDefault="001A55CC" w:rsidP="00256C19">
      <w:pPr>
        <w:pStyle w:val="Alnea"/>
      </w:pPr>
      <w:proofErr w:type="gramStart"/>
      <w:r>
        <w:t>a</w:t>
      </w:r>
      <w:r w:rsidR="001D5819">
        <w:t>provar</w:t>
      </w:r>
      <w:proofErr w:type="gramEnd"/>
      <w:r w:rsidR="001D5819">
        <w:t xml:space="preserve"> a Estratégia de disponibilização</w:t>
      </w:r>
      <w:r w:rsidR="000D2A4B">
        <w:t>;</w:t>
      </w:r>
    </w:p>
    <w:p w:rsidR="001D5819" w:rsidRDefault="001A55CC" w:rsidP="00256C19">
      <w:pPr>
        <w:pStyle w:val="Alnea"/>
      </w:pPr>
      <w:proofErr w:type="gramStart"/>
      <w:r>
        <w:t>a</w:t>
      </w:r>
      <w:r w:rsidR="001D5819">
        <w:t>provar</w:t>
      </w:r>
      <w:proofErr w:type="gramEnd"/>
      <w:r w:rsidR="001D5819">
        <w:t xml:space="preserve"> a Estratégia de suporte e manutenção</w:t>
      </w:r>
      <w:r w:rsidR="000D2A4B">
        <w:t>;</w:t>
      </w:r>
    </w:p>
    <w:p w:rsidR="001D5819" w:rsidRDefault="001A55CC" w:rsidP="00256C19">
      <w:pPr>
        <w:pStyle w:val="Alnea"/>
      </w:pPr>
      <w:proofErr w:type="gramStart"/>
      <w:r>
        <w:t>a</w:t>
      </w:r>
      <w:r w:rsidR="001D5819">
        <w:t>provar</w:t>
      </w:r>
      <w:proofErr w:type="gramEnd"/>
      <w:r w:rsidR="001D5819">
        <w:t xml:space="preserve"> a Estratégia de treinamento dos usuários</w:t>
      </w:r>
      <w:r w:rsidR="000D2A4B">
        <w:t>;</w:t>
      </w:r>
    </w:p>
    <w:p w:rsidR="001D5819" w:rsidRDefault="001A55CC" w:rsidP="00256C19">
      <w:pPr>
        <w:pStyle w:val="Alnea"/>
      </w:pPr>
      <w:proofErr w:type="gramStart"/>
      <w:r>
        <w:t>c</w:t>
      </w:r>
      <w:r w:rsidR="001D5819">
        <w:t>onfirmar</w:t>
      </w:r>
      <w:proofErr w:type="gramEnd"/>
      <w:r w:rsidR="001D5819">
        <w:t xml:space="preserve"> que a organização está preparada para realizar a disponibilização</w:t>
      </w:r>
      <w:r w:rsidR="000D2A4B">
        <w:t>:</w:t>
      </w:r>
    </w:p>
    <w:p w:rsidR="001D5819" w:rsidRDefault="001A55CC" w:rsidP="00256C19">
      <w:pPr>
        <w:pStyle w:val="Subalnea"/>
      </w:pPr>
      <w:proofErr w:type="gramStart"/>
      <w:r>
        <w:t>a</w:t>
      </w:r>
      <w:r w:rsidR="001D5819">
        <w:t>mbiente</w:t>
      </w:r>
      <w:proofErr w:type="gramEnd"/>
      <w:r w:rsidR="000D2A4B">
        <w:t>;</w:t>
      </w:r>
    </w:p>
    <w:p w:rsidR="001D5819" w:rsidRDefault="001A55CC" w:rsidP="00256C19">
      <w:pPr>
        <w:pStyle w:val="Subalnea"/>
      </w:pPr>
      <w:proofErr w:type="gramStart"/>
      <w:r>
        <w:t>p</w:t>
      </w:r>
      <w:r w:rsidR="001D5819">
        <w:t>rocesso</w:t>
      </w:r>
      <w:proofErr w:type="gramEnd"/>
      <w:r w:rsidR="001D5819">
        <w:t xml:space="preserve"> de disponibilização</w:t>
      </w:r>
      <w:r w:rsidR="000D2A4B">
        <w:t>;</w:t>
      </w:r>
    </w:p>
    <w:p w:rsidR="00F043FA" w:rsidRDefault="001A55CC" w:rsidP="00256C19">
      <w:pPr>
        <w:pStyle w:val="Subalnea"/>
      </w:pPr>
      <w:proofErr w:type="gramStart"/>
      <w:r>
        <w:t>e</w:t>
      </w:r>
      <w:r w:rsidR="001D5819">
        <w:t>quipe</w:t>
      </w:r>
      <w:proofErr w:type="gramEnd"/>
      <w:r w:rsidR="001D5819">
        <w:t xml:space="preserve"> designada</w:t>
      </w:r>
      <w:r w:rsidR="000D2A4B">
        <w:t>.</w:t>
      </w:r>
    </w:p>
    <w:p w:rsidR="00F043FA" w:rsidRDefault="00F043FA" w:rsidP="00256C19">
      <w:pPr>
        <w:pStyle w:val="Pargrafo"/>
      </w:pPr>
      <w:r>
        <w:t>Decisão de Encerramento do Projeto – DEP:</w:t>
      </w:r>
    </w:p>
    <w:p w:rsidR="00F043FA" w:rsidRDefault="00BB4F9D" w:rsidP="00256C19">
      <w:pPr>
        <w:pStyle w:val="Inciso"/>
      </w:pPr>
      <w:r>
        <w:t>A</w:t>
      </w:r>
      <w:r w:rsidR="00F043FA">
        <w:t xml:space="preserve"> DEP é decisão obrigatório a todos os projetos, que tem por objetivo avaliar a disponibilização da solução realizada e autorizar o encerramento do projeto.</w:t>
      </w:r>
    </w:p>
    <w:p w:rsidR="00BB4F9D" w:rsidRDefault="00BB4F9D" w:rsidP="00BB4F9D">
      <w:pPr>
        <w:pStyle w:val="Inciso"/>
      </w:pPr>
      <w:r w:rsidRPr="00A836C8">
        <w:t xml:space="preserve">Na fase de </w:t>
      </w:r>
      <w:r>
        <w:t>Disponibilização</w:t>
      </w:r>
      <w:r w:rsidRPr="00A836C8">
        <w:t xml:space="preserve">, que ocorre anteriormente à </w:t>
      </w:r>
      <w:r>
        <w:t>DEP</w:t>
      </w:r>
      <w:r w:rsidRPr="00A836C8">
        <w:t>, é recomendada a realização do</w:t>
      </w:r>
      <w:r w:rsidR="00EF3F0A">
        <w:t xml:space="preserve">s seguintes </w:t>
      </w:r>
      <w:r>
        <w:t>processo</w:t>
      </w:r>
      <w:r w:rsidR="00EF3F0A">
        <w:t>s</w:t>
      </w:r>
      <w:r>
        <w:t xml:space="preserve"> da MGP-SISP</w:t>
      </w:r>
      <w:r w:rsidR="00EF3F0A">
        <w:t>:</w:t>
      </w:r>
    </w:p>
    <w:p w:rsidR="00EF3F0A" w:rsidRDefault="001A55CC" w:rsidP="00256C19">
      <w:pPr>
        <w:pStyle w:val="Alnea"/>
      </w:pPr>
      <w:proofErr w:type="gramStart"/>
      <w:r>
        <w:t>d</w:t>
      </w:r>
      <w:r w:rsidR="00EF3F0A">
        <w:t>isponibilização</w:t>
      </w:r>
      <w:proofErr w:type="gramEnd"/>
      <w:r w:rsidR="00EF3F0A">
        <w:t>;</w:t>
      </w:r>
    </w:p>
    <w:p w:rsidR="00EF3F0A" w:rsidRPr="00256C19" w:rsidRDefault="001A55CC" w:rsidP="00256C19">
      <w:pPr>
        <w:pStyle w:val="Alnea"/>
      </w:pPr>
      <w:proofErr w:type="gramStart"/>
      <w:r>
        <w:t>e</w:t>
      </w:r>
      <w:r w:rsidR="00EF3F0A" w:rsidRPr="00EF3F0A">
        <w:t>ncerrar</w:t>
      </w:r>
      <w:proofErr w:type="gramEnd"/>
      <w:r w:rsidR="00EF3F0A" w:rsidRPr="00EF3F0A">
        <w:t xml:space="preserve"> Aquisições e Contratações, em caso de contratação de solução de TI</w:t>
      </w:r>
      <w:r w:rsidR="00EF3F0A">
        <w:t>.</w:t>
      </w:r>
    </w:p>
    <w:p w:rsidR="00BB4F9D" w:rsidRDefault="00BB4F9D" w:rsidP="00256C19">
      <w:pPr>
        <w:pStyle w:val="Inciso"/>
      </w:pPr>
      <w:r w:rsidRPr="00BB4F9D">
        <w:t>Os seguintes produtos são previstos para realização da D</w:t>
      </w:r>
      <w:r>
        <w:t>EP</w:t>
      </w:r>
      <w:r w:rsidRPr="00BB4F9D">
        <w:t>:</w:t>
      </w:r>
    </w:p>
    <w:p w:rsidR="00BB4F9D" w:rsidRDefault="001A55CC" w:rsidP="00256C19">
      <w:pPr>
        <w:pStyle w:val="Alnea"/>
      </w:pPr>
      <w:proofErr w:type="gramStart"/>
      <w:r>
        <w:t>o</w:t>
      </w:r>
      <w:r w:rsidR="00BB4F9D">
        <w:t>bjetivos</w:t>
      </w:r>
      <w:proofErr w:type="gramEnd"/>
      <w:r w:rsidR="00BB4F9D">
        <w:t xml:space="preserve"> de negócio</w:t>
      </w:r>
      <w:r w:rsidR="000D2A4B">
        <w:t>;</w:t>
      </w:r>
    </w:p>
    <w:p w:rsidR="00BB4F9D" w:rsidRDefault="001A55CC" w:rsidP="00256C19">
      <w:pPr>
        <w:pStyle w:val="Alnea"/>
      </w:pPr>
      <w:proofErr w:type="gramStart"/>
      <w:r>
        <w:t>v</w:t>
      </w:r>
      <w:r w:rsidR="00BB4F9D">
        <w:t>isão</w:t>
      </w:r>
      <w:proofErr w:type="gramEnd"/>
      <w:r w:rsidR="00BB4F9D">
        <w:t xml:space="preserve"> (refinada)</w:t>
      </w:r>
      <w:r w:rsidR="000D2A4B">
        <w:t>;</w:t>
      </w:r>
    </w:p>
    <w:p w:rsidR="00BB4F9D" w:rsidRDefault="001A55CC" w:rsidP="00256C19">
      <w:pPr>
        <w:pStyle w:val="Alnea"/>
      </w:pPr>
      <w:proofErr w:type="gramStart"/>
      <w:r>
        <w:t>s</w:t>
      </w:r>
      <w:r w:rsidR="00BB4F9D">
        <w:t>olução</w:t>
      </w:r>
      <w:proofErr w:type="gramEnd"/>
      <w:r w:rsidR="000D2A4B">
        <w:t>:</w:t>
      </w:r>
    </w:p>
    <w:p w:rsidR="00BB4F9D" w:rsidRDefault="001A55CC" w:rsidP="00256C19">
      <w:pPr>
        <w:pStyle w:val="Subalnea"/>
      </w:pPr>
      <w:proofErr w:type="gramStart"/>
      <w:r>
        <w:t>r</w:t>
      </w:r>
      <w:r w:rsidR="00BB4F9D">
        <w:t>esultados</w:t>
      </w:r>
      <w:proofErr w:type="gramEnd"/>
      <w:r w:rsidR="00BB4F9D">
        <w:t xml:space="preserve"> da disponibilização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lastRenderedPageBreak/>
        <w:t>r</w:t>
      </w:r>
      <w:r w:rsidR="00BB4F9D">
        <w:t>esultados</w:t>
      </w:r>
      <w:proofErr w:type="gramEnd"/>
      <w:r w:rsidR="00BB4F9D">
        <w:t xml:space="preserve"> da migração (quando aplicável)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r</w:t>
      </w:r>
      <w:r w:rsidR="00BB4F9D">
        <w:t>esultados</w:t>
      </w:r>
      <w:proofErr w:type="gramEnd"/>
      <w:r w:rsidR="00BB4F9D">
        <w:t xml:space="preserve"> da transição (quando aplicável)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r</w:t>
      </w:r>
      <w:r w:rsidR="00BB4F9D">
        <w:t>esultados</w:t>
      </w:r>
      <w:proofErr w:type="gramEnd"/>
      <w:r w:rsidR="00BB4F9D">
        <w:t xml:space="preserve"> dos treinamentos dos usuários (quando aplicável)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e</w:t>
      </w:r>
      <w:r w:rsidR="00BB4F9D">
        <w:t>strutura</w:t>
      </w:r>
      <w:proofErr w:type="gramEnd"/>
      <w:r w:rsidR="00BB4F9D">
        <w:t xml:space="preserve"> de suporte e manutenção (refinada)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t</w:t>
      </w:r>
      <w:r w:rsidR="00BB4F9D">
        <w:t>ratamento</w:t>
      </w:r>
      <w:proofErr w:type="gramEnd"/>
      <w:r w:rsidR="00BB4F9D">
        <w:t xml:space="preserve"> de defeitos residuais (quando aplicável)</w:t>
      </w:r>
      <w:r w:rsidR="000D2A4B">
        <w:t>.</w:t>
      </w:r>
    </w:p>
    <w:p w:rsidR="00BB4F9D" w:rsidRDefault="001A55CC" w:rsidP="00256C19">
      <w:pPr>
        <w:pStyle w:val="Alnea"/>
      </w:pPr>
      <w:proofErr w:type="gramStart"/>
      <w:r>
        <w:t>g</w:t>
      </w:r>
      <w:r w:rsidR="00BB4F9D">
        <w:t>estão</w:t>
      </w:r>
      <w:proofErr w:type="gramEnd"/>
      <w:r w:rsidR="00BB4F9D">
        <w:t xml:space="preserve"> de projetos</w:t>
      </w:r>
      <w:r w:rsidR="000D2A4B">
        <w:t>:</w:t>
      </w:r>
    </w:p>
    <w:p w:rsidR="00BB4F9D" w:rsidRDefault="001A55CC" w:rsidP="00256C19">
      <w:pPr>
        <w:pStyle w:val="Subalnea"/>
      </w:pPr>
      <w:proofErr w:type="gramStart"/>
      <w:r>
        <w:t>c</w:t>
      </w:r>
      <w:r w:rsidR="00BB4F9D">
        <w:t>ronograma</w:t>
      </w:r>
      <w:proofErr w:type="gramEnd"/>
      <w:r w:rsidR="00BB4F9D">
        <w:t xml:space="preserve"> (final)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o</w:t>
      </w:r>
      <w:r w:rsidR="00BB4F9D">
        <w:t>rçamento</w:t>
      </w:r>
      <w:proofErr w:type="gramEnd"/>
      <w:r w:rsidR="00BB4F9D">
        <w:t xml:space="preserve"> (final, quando aplicável)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l</w:t>
      </w:r>
      <w:r w:rsidR="00BB4F9D">
        <w:t>ista</w:t>
      </w:r>
      <w:proofErr w:type="gramEnd"/>
      <w:r w:rsidR="00BB4F9D">
        <w:t xml:space="preserve"> de riscos (final e opcional)</w:t>
      </w:r>
      <w:r w:rsidR="000D2A4B">
        <w:t>;</w:t>
      </w:r>
    </w:p>
    <w:p w:rsidR="00BB4F9D" w:rsidRDefault="001A55CC" w:rsidP="00256C19">
      <w:pPr>
        <w:pStyle w:val="Subalnea"/>
      </w:pPr>
      <w:proofErr w:type="gramStart"/>
      <w:r>
        <w:t>l</w:t>
      </w:r>
      <w:r w:rsidR="00BB4F9D">
        <w:t>ista</w:t>
      </w:r>
      <w:proofErr w:type="gramEnd"/>
      <w:r w:rsidR="00BB4F9D">
        <w:t xml:space="preserve"> de interessados (final e opcional)</w:t>
      </w:r>
      <w:r w:rsidR="000D2A4B">
        <w:t>;</w:t>
      </w:r>
    </w:p>
    <w:p w:rsidR="00BB4F9D" w:rsidRPr="00256C19" w:rsidRDefault="001A55CC" w:rsidP="00256C19">
      <w:pPr>
        <w:pStyle w:val="Subalnea"/>
      </w:pPr>
      <w:proofErr w:type="gramStart"/>
      <w:r>
        <w:t>l</w:t>
      </w:r>
      <w:r w:rsidR="00BB4F9D">
        <w:t>ições</w:t>
      </w:r>
      <w:proofErr w:type="gramEnd"/>
      <w:r w:rsidR="00BB4F9D">
        <w:t xml:space="preserve"> aprendidas (final)</w:t>
      </w:r>
      <w:r w:rsidR="000D2A4B">
        <w:t>.</w:t>
      </w:r>
    </w:p>
    <w:p w:rsidR="00307329" w:rsidRDefault="00307329" w:rsidP="00307329">
      <w:pPr>
        <w:pStyle w:val="Inciso"/>
      </w:pPr>
      <w:r w:rsidRPr="004406A2">
        <w:t xml:space="preserve">As seguintes decisões são necessárias ao final da </w:t>
      </w:r>
      <w:r>
        <w:t>DEP</w:t>
      </w:r>
      <w:r w:rsidRPr="004406A2">
        <w:t>:</w:t>
      </w:r>
    </w:p>
    <w:p w:rsidR="00307329" w:rsidRDefault="001A55CC" w:rsidP="00256C19">
      <w:pPr>
        <w:pStyle w:val="Alnea"/>
      </w:pPr>
      <w:proofErr w:type="gramStart"/>
      <w:r>
        <w:t>c</w:t>
      </w:r>
      <w:r w:rsidR="00307329">
        <w:t>onfirmar</w:t>
      </w:r>
      <w:proofErr w:type="gramEnd"/>
      <w:r w:rsidR="00307329">
        <w:t xml:space="preserve"> que a solução está operacional;</w:t>
      </w:r>
    </w:p>
    <w:p w:rsidR="00307329" w:rsidRDefault="001A55CC" w:rsidP="00256C19">
      <w:pPr>
        <w:pStyle w:val="Alnea"/>
      </w:pPr>
      <w:proofErr w:type="gramStart"/>
      <w:r>
        <w:t>c</w:t>
      </w:r>
      <w:r w:rsidR="00307329">
        <w:t>onfirmar</w:t>
      </w:r>
      <w:proofErr w:type="gramEnd"/>
      <w:r w:rsidR="00307329">
        <w:t xml:space="preserve"> que a organização de suporte e manutenção assumiu a responsabilidade total da solução;</w:t>
      </w:r>
    </w:p>
    <w:p w:rsidR="00307329" w:rsidRDefault="001A55CC" w:rsidP="00256C19">
      <w:pPr>
        <w:pStyle w:val="Subalnea"/>
      </w:pPr>
      <w:proofErr w:type="gramStart"/>
      <w:r>
        <w:t>m</w:t>
      </w:r>
      <w:r w:rsidR="00307329">
        <w:t>aterial</w:t>
      </w:r>
      <w:proofErr w:type="gramEnd"/>
      <w:r w:rsidR="00307329">
        <w:t xml:space="preserve"> de suporte desenvolvido (manuais, scripts de atendimento, </w:t>
      </w:r>
      <w:proofErr w:type="spellStart"/>
      <w:r w:rsidR="00307329">
        <w:t>etc</w:t>
      </w:r>
      <w:proofErr w:type="spellEnd"/>
      <w:r w:rsidR="00307329">
        <w:t>);</w:t>
      </w:r>
    </w:p>
    <w:p w:rsidR="00307329" w:rsidRDefault="001A55CC" w:rsidP="00256C19">
      <w:pPr>
        <w:pStyle w:val="Subalnea"/>
      </w:pPr>
      <w:proofErr w:type="gramStart"/>
      <w:r>
        <w:t>e</w:t>
      </w:r>
      <w:r w:rsidR="00307329">
        <w:t>quipes</w:t>
      </w:r>
      <w:proofErr w:type="gramEnd"/>
      <w:r w:rsidR="00307329">
        <w:t xml:space="preserve"> de suporte preparadas (1</w:t>
      </w:r>
      <w:r w:rsidR="00E0233C">
        <w:t>º</w:t>
      </w:r>
      <w:r w:rsidR="00307329">
        <w:t>, 2</w:t>
      </w:r>
      <w:r w:rsidR="00E0233C">
        <w:t>º</w:t>
      </w:r>
      <w:r w:rsidR="00307329">
        <w:t xml:space="preserve"> e 3</w:t>
      </w:r>
      <w:r w:rsidR="00E0233C">
        <w:t>º</w:t>
      </w:r>
      <w:r w:rsidR="00307329">
        <w:t xml:space="preserve"> nível)</w:t>
      </w:r>
      <w:r w:rsidR="000D2A4B">
        <w:t>.</w:t>
      </w:r>
    </w:p>
    <w:p w:rsidR="00307329" w:rsidRDefault="001A55CC" w:rsidP="00256C19">
      <w:pPr>
        <w:pStyle w:val="Alnea"/>
      </w:pPr>
      <w:proofErr w:type="gramStart"/>
      <w:r>
        <w:t>c</w:t>
      </w:r>
      <w:r w:rsidR="00307329">
        <w:t>onfirmar</w:t>
      </w:r>
      <w:proofErr w:type="gramEnd"/>
      <w:r w:rsidR="00307329">
        <w:t xml:space="preserve"> se os usuários foram treinados e estão após à utilização da solução;</w:t>
      </w:r>
    </w:p>
    <w:p w:rsidR="00307329" w:rsidRDefault="001A55CC" w:rsidP="00256C19">
      <w:pPr>
        <w:pStyle w:val="Alnea"/>
      </w:pPr>
      <w:proofErr w:type="gramStart"/>
      <w:r>
        <w:t>a</w:t>
      </w:r>
      <w:r w:rsidR="00307329">
        <w:t>provar</w:t>
      </w:r>
      <w:proofErr w:type="gramEnd"/>
      <w:r w:rsidR="00307329">
        <w:t xml:space="preserve"> os resultados do projeto, e</w:t>
      </w:r>
    </w:p>
    <w:p w:rsidR="00307329" w:rsidRDefault="001A55CC" w:rsidP="00256C19">
      <w:pPr>
        <w:pStyle w:val="Alnea"/>
      </w:pPr>
      <w:proofErr w:type="gramStart"/>
      <w:r>
        <w:t>a</w:t>
      </w:r>
      <w:r w:rsidR="00307329">
        <w:t>provar</w:t>
      </w:r>
      <w:proofErr w:type="gramEnd"/>
      <w:r w:rsidR="00307329">
        <w:t xml:space="preserve"> o encerramento do projeto.</w:t>
      </w:r>
    </w:p>
    <w:p w:rsidR="00D65530" w:rsidRDefault="00D65530" w:rsidP="00D65530">
      <w:pPr>
        <w:pStyle w:val="Pargrafo"/>
      </w:pPr>
      <w:r>
        <w:t>Decisão de Operação Continuada – DOC:</w:t>
      </w:r>
    </w:p>
    <w:p w:rsidR="00D65530" w:rsidRDefault="00D65530" w:rsidP="00D65530">
      <w:pPr>
        <w:pStyle w:val="Inciso"/>
      </w:pPr>
      <w:r>
        <w:t>A DOC tem por objetivo</w:t>
      </w:r>
      <w:r w:rsidRPr="00D65530">
        <w:t xml:space="preserve"> avaliar a solução em operação em relação aos objetivos de negócio e, se necessário, identificar novas ações de melhoria.</w:t>
      </w:r>
    </w:p>
    <w:p w:rsidR="00942ABA" w:rsidRDefault="00942ABA" w:rsidP="00942ABA">
      <w:pPr>
        <w:pStyle w:val="Inciso"/>
      </w:pPr>
      <w:r>
        <w:t>A DOC não é executada em uma reunião formal e sim a partir da avaliação da CGTI junto aos usuários-chave dos benefícios atingidos com o resultado do projeto.</w:t>
      </w:r>
    </w:p>
    <w:p w:rsidR="00D65530" w:rsidRDefault="00D65530" w:rsidP="00D65530">
      <w:pPr>
        <w:pStyle w:val="Inciso"/>
      </w:pPr>
      <w:r w:rsidRPr="00BB4F9D">
        <w:t>Os seguintes produtos são previstos para realização da D</w:t>
      </w:r>
      <w:r>
        <w:t>EP</w:t>
      </w:r>
      <w:r w:rsidRPr="00BB4F9D">
        <w:t>:</w:t>
      </w:r>
    </w:p>
    <w:p w:rsidR="00D65530" w:rsidRDefault="001A55CC" w:rsidP="00256C19">
      <w:pPr>
        <w:pStyle w:val="Alnea"/>
      </w:pPr>
      <w:proofErr w:type="gramStart"/>
      <w:r>
        <w:t>o</w:t>
      </w:r>
      <w:r w:rsidR="00D65530">
        <w:t>bjetivos</w:t>
      </w:r>
      <w:proofErr w:type="gramEnd"/>
      <w:r w:rsidR="00D65530">
        <w:t xml:space="preserve"> de negócio</w:t>
      </w:r>
      <w:r w:rsidR="000D2A4B">
        <w:t>:</w:t>
      </w:r>
    </w:p>
    <w:p w:rsidR="00D65530" w:rsidRDefault="001A55CC" w:rsidP="00256C19">
      <w:pPr>
        <w:pStyle w:val="Subalnea"/>
      </w:pPr>
      <w:proofErr w:type="gramStart"/>
      <w:r>
        <w:t>v</w:t>
      </w:r>
      <w:r w:rsidR="00D65530">
        <w:t>isão</w:t>
      </w:r>
      <w:proofErr w:type="gramEnd"/>
      <w:r w:rsidR="00E001D2">
        <w:t>;</w:t>
      </w:r>
    </w:p>
    <w:p w:rsidR="00D65530" w:rsidRDefault="001A55CC" w:rsidP="00256C19">
      <w:pPr>
        <w:pStyle w:val="Subalnea"/>
      </w:pPr>
      <w:proofErr w:type="gramStart"/>
      <w:r>
        <w:t>b</w:t>
      </w:r>
      <w:r w:rsidR="00D65530">
        <w:t>enefícios</w:t>
      </w:r>
      <w:proofErr w:type="gramEnd"/>
      <w:r w:rsidR="00D65530">
        <w:t xml:space="preserve"> atingidos</w:t>
      </w:r>
      <w:r w:rsidR="00E001D2">
        <w:t>;</w:t>
      </w:r>
    </w:p>
    <w:p w:rsidR="00D65530" w:rsidRDefault="001A55CC" w:rsidP="00256C19">
      <w:pPr>
        <w:pStyle w:val="Subalnea"/>
      </w:pPr>
      <w:proofErr w:type="gramStart"/>
      <w:r>
        <w:t>a</w:t>
      </w:r>
      <w:r w:rsidR="00D65530">
        <w:t>ções</w:t>
      </w:r>
      <w:proofErr w:type="gramEnd"/>
      <w:r w:rsidR="00D65530">
        <w:t xml:space="preserve"> de melhoria identificadas</w:t>
      </w:r>
      <w:r w:rsidR="00E001D2">
        <w:t>; e</w:t>
      </w:r>
    </w:p>
    <w:p w:rsidR="00D65530" w:rsidRDefault="001A55CC" w:rsidP="00256C19">
      <w:pPr>
        <w:pStyle w:val="Subalnea"/>
      </w:pPr>
      <w:proofErr w:type="gramStart"/>
      <w:r>
        <w:t>p</w:t>
      </w:r>
      <w:r w:rsidR="00D65530">
        <w:t>esquisa</w:t>
      </w:r>
      <w:proofErr w:type="gramEnd"/>
      <w:r w:rsidR="00D65530">
        <w:t xml:space="preserve"> de satisfação</w:t>
      </w:r>
      <w:r w:rsidR="00E001D2">
        <w:t>.</w:t>
      </w:r>
    </w:p>
    <w:p w:rsidR="00D65530" w:rsidRDefault="00D65530" w:rsidP="00D65530">
      <w:pPr>
        <w:pStyle w:val="Inciso"/>
      </w:pPr>
      <w:r w:rsidRPr="004406A2">
        <w:t xml:space="preserve">As seguintes decisões são necessárias ao final da </w:t>
      </w:r>
      <w:r>
        <w:t>DEP</w:t>
      </w:r>
      <w:r w:rsidRPr="004406A2">
        <w:t>:</w:t>
      </w:r>
    </w:p>
    <w:p w:rsidR="009C04F0" w:rsidRDefault="00A74089" w:rsidP="00950333">
      <w:pPr>
        <w:pStyle w:val="Alnea"/>
        <w:ind w:left="993" w:hanging="284"/>
      </w:pPr>
      <w:proofErr w:type="gramStart"/>
      <w:r>
        <w:lastRenderedPageBreak/>
        <w:t>c</w:t>
      </w:r>
      <w:r w:rsidR="009C04F0">
        <w:t>oncluir</w:t>
      </w:r>
      <w:proofErr w:type="gramEnd"/>
      <w:r w:rsidR="009C04F0">
        <w:t xml:space="preserve"> a respeito dos benefícios de negócio atingidos a partir da operação da solução, e;</w:t>
      </w:r>
    </w:p>
    <w:p w:rsidR="00D65530" w:rsidRDefault="00A74089" w:rsidP="009C04F0">
      <w:pPr>
        <w:pStyle w:val="Alnea"/>
      </w:pPr>
      <w:proofErr w:type="gramStart"/>
      <w:r>
        <w:t>a</w:t>
      </w:r>
      <w:r w:rsidR="009C04F0">
        <w:t>provar</w:t>
      </w:r>
      <w:proofErr w:type="gramEnd"/>
      <w:r w:rsidR="009C04F0">
        <w:t xml:space="preserve"> novas ações de melhoria para o portfólio.</w:t>
      </w:r>
    </w:p>
    <w:p w:rsidR="00F043FA" w:rsidRDefault="007C4FFA" w:rsidP="00950333">
      <w:pPr>
        <w:pStyle w:val="Artigo"/>
        <w:numPr>
          <w:ilvl w:val="0"/>
          <w:numId w:val="0"/>
        </w:numPr>
        <w:ind w:firstLine="1418"/>
      </w:pPr>
      <w:r>
        <w:t xml:space="preserve">Art. </w:t>
      </w:r>
      <w:r w:rsidR="007B08F6">
        <w:t>20</w:t>
      </w:r>
      <w:r>
        <w:t xml:space="preserve">.  </w:t>
      </w:r>
      <w:r w:rsidR="00F043FA">
        <w:t xml:space="preserve">Com a finalidade de monitorar a execução e gerenciar as mudanças do projeto, é recomendada a realização dos seguintes processos </w:t>
      </w:r>
      <w:r w:rsidR="00D65530">
        <w:t xml:space="preserve">da MGP-SISP </w:t>
      </w:r>
      <w:r w:rsidR="00F043FA">
        <w:t>ao longo do ciclo de vida do projeto:</w:t>
      </w:r>
    </w:p>
    <w:p w:rsidR="00F043FA" w:rsidRPr="00256C19" w:rsidRDefault="00A74089" w:rsidP="00950333">
      <w:pPr>
        <w:pStyle w:val="Alnea"/>
        <w:numPr>
          <w:ilvl w:val="3"/>
          <w:numId w:val="50"/>
        </w:numPr>
      </w:pPr>
      <w:proofErr w:type="gramStart"/>
      <w:r>
        <w:t>m</w:t>
      </w:r>
      <w:r w:rsidR="00F043FA" w:rsidRPr="00256C19">
        <w:t>onitorar</w:t>
      </w:r>
      <w:proofErr w:type="gramEnd"/>
      <w:r w:rsidR="00F043FA" w:rsidRPr="00256C19">
        <w:t xml:space="preserve"> e </w:t>
      </w:r>
      <w:r>
        <w:t>c</w:t>
      </w:r>
      <w:r w:rsidR="00F043FA" w:rsidRPr="00256C19">
        <w:t xml:space="preserve">ontrolar o </w:t>
      </w:r>
      <w:r>
        <w:t>t</w:t>
      </w:r>
      <w:r w:rsidR="00F043FA" w:rsidRPr="00256C19">
        <w:t xml:space="preserve">rabalho do </w:t>
      </w:r>
      <w:r>
        <w:t>p</w:t>
      </w:r>
      <w:r w:rsidR="00F043FA" w:rsidRPr="00256C19">
        <w:t>rojeto; e</w:t>
      </w:r>
    </w:p>
    <w:p w:rsidR="00F043FA" w:rsidRDefault="00A74089" w:rsidP="00256C19">
      <w:pPr>
        <w:pStyle w:val="Alnea"/>
      </w:pPr>
      <w:proofErr w:type="gramStart"/>
      <w:r>
        <w:t>g</w:t>
      </w:r>
      <w:r w:rsidR="00F043FA" w:rsidRPr="00256C19">
        <w:t>erenciar</w:t>
      </w:r>
      <w:proofErr w:type="gramEnd"/>
      <w:r w:rsidR="00F043FA" w:rsidRPr="00256C19">
        <w:t xml:space="preserve"> </w:t>
      </w:r>
      <w:r>
        <w:t>m</w:t>
      </w:r>
      <w:r w:rsidR="00F043FA" w:rsidRPr="00256C19">
        <w:t>udanças.</w:t>
      </w:r>
    </w:p>
    <w:p w:rsidR="00876788" w:rsidRPr="00107AF5" w:rsidRDefault="007C4FFA" w:rsidP="00950333">
      <w:pPr>
        <w:pStyle w:val="Artigo"/>
        <w:numPr>
          <w:ilvl w:val="0"/>
          <w:numId w:val="0"/>
        </w:numPr>
        <w:ind w:firstLine="1418"/>
      </w:pPr>
      <w:r>
        <w:t xml:space="preserve">Art. </w:t>
      </w:r>
      <w:r w:rsidR="007B08F6">
        <w:t>21</w:t>
      </w:r>
      <w:r>
        <w:t xml:space="preserve">.  </w:t>
      </w:r>
      <w:r w:rsidR="00876788" w:rsidRPr="00107AF5">
        <w:t>Esta Norma Operacional entra em vigor na data de sua publicação em Boletim de Serviço.</w:t>
      </w:r>
      <w:bookmarkStart w:id="1" w:name="_GoBack"/>
      <w:bookmarkEnd w:id="1"/>
    </w:p>
    <w:p w:rsidR="00876788" w:rsidRPr="00107AF5" w:rsidRDefault="00876788" w:rsidP="00876788">
      <w:pPr>
        <w:shd w:val="clear" w:color="auto" w:fill="FFFFFF"/>
        <w:rPr>
          <w:rFonts w:cs="Times New Roman"/>
          <w:szCs w:val="24"/>
        </w:rPr>
      </w:pPr>
    </w:p>
    <w:p w:rsidR="00876788" w:rsidRPr="00107AF5" w:rsidRDefault="00876788" w:rsidP="00876788">
      <w:pPr>
        <w:shd w:val="clear" w:color="auto" w:fill="FFFFFF"/>
        <w:rPr>
          <w:rFonts w:cs="Times New Roman"/>
          <w:szCs w:val="24"/>
        </w:rPr>
      </w:pPr>
    </w:p>
    <w:p w:rsidR="007B4A7E" w:rsidRDefault="0087075D" w:rsidP="0087075D">
      <w:pPr>
        <w:spacing w:line="276" w:lineRule="auto"/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JOÃO BRANT</w:t>
      </w:r>
      <w:r>
        <w:rPr>
          <w:rFonts w:cs="Times New Roman"/>
          <w:b/>
          <w:szCs w:val="24"/>
        </w:rPr>
        <w:br/>
        <w:t>SECRETÁRIO-EXECUTIVO</w:t>
      </w:r>
      <w:r w:rsidR="007B4A7E">
        <w:rPr>
          <w:rFonts w:cs="Times New Roman"/>
          <w:b/>
          <w:szCs w:val="24"/>
        </w:rPr>
        <w:br w:type="page"/>
      </w:r>
    </w:p>
    <w:p w:rsidR="00876788" w:rsidRPr="00107AF5" w:rsidRDefault="00876788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Cs/>
          <w:color w:val="050505"/>
          <w:szCs w:val="24"/>
          <w:lang w:eastAsia="pt-BR"/>
        </w:rPr>
      </w:pPr>
      <w:bookmarkStart w:id="2" w:name="_Toc307504123"/>
      <w:bookmarkStart w:id="3" w:name="_Toc307592972"/>
      <w:r w:rsidRPr="00107AF5">
        <w:rPr>
          <w:rFonts w:eastAsia="Times New Roman" w:cs="Times New Roman"/>
          <w:bCs/>
          <w:color w:val="050505"/>
          <w:szCs w:val="24"/>
          <w:lang w:eastAsia="pt-BR"/>
        </w:rPr>
        <w:lastRenderedPageBreak/>
        <w:t xml:space="preserve">MINISTÉRIO </w:t>
      </w:r>
      <w:r w:rsidR="007A596A">
        <w:rPr>
          <w:rFonts w:eastAsia="Times New Roman" w:cs="Times New Roman"/>
          <w:bCs/>
          <w:color w:val="050505"/>
          <w:szCs w:val="24"/>
          <w:lang w:eastAsia="pt-BR"/>
        </w:rPr>
        <w:t>DA CULTURA</w:t>
      </w:r>
    </w:p>
    <w:p w:rsidR="00876788" w:rsidRPr="00107AF5" w:rsidRDefault="00876788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Cs/>
          <w:color w:val="050505"/>
          <w:szCs w:val="24"/>
          <w:lang w:eastAsia="pt-BR"/>
        </w:rPr>
      </w:pPr>
      <w:r w:rsidRPr="00107AF5">
        <w:rPr>
          <w:rFonts w:eastAsia="Times New Roman" w:cs="Times New Roman"/>
          <w:bCs/>
          <w:color w:val="050505"/>
          <w:szCs w:val="24"/>
          <w:lang w:eastAsia="pt-BR"/>
        </w:rPr>
        <w:t>SECRETARIA-EXECUTIVA</w:t>
      </w:r>
    </w:p>
    <w:p w:rsidR="00876788" w:rsidRPr="00107AF5" w:rsidRDefault="00876788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Cs/>
          <w:color w:val="050505"/>
          <w:szCs w:val="24"/>
          <w:lang w:eastAsia="pt-BR"/>
        </w:rPr>
      </w:pPr>
      <w:r w:rsidRPr="00107AF5">
        <w:rPr>
          <w:rFonts w:eastAsia="Times New Roman" w:cs="Times New Roman"/>
          <w:bCs/>
          <w:color w:val="050505"/>
          <w:szCs w:val="24"/>
          <w:lang w:eastAsia="pt-BR"/>
        </w:rPr>
        <w:t>SUBSECRETARIA DE PLANEJAMENTO, ORÇAMENTO E ADMINISTRAÇÃO</w:t>
      </w:r>
    </w:p>
    <w:p w:rsidR="00876788" w:rsidRPr="00107AF5" w:rsidRDefault="00876788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</w:p>
    <w:p w:rsidR="00876788" w:rsidRPr="00107AF5" w:rsidRDefault="00876788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</w:p>
    <w:p w:rsidR="00876788" w:rsidRPr="00107AF5" w:rsidRDefault="007B4A7E" w:rsidP="00876788">
      <w:pPr>
        <w:widowControl w:val="0"/>
        <w:autoSpaceDE w:val="0"/>
        <w:autoSpaceDN w:val="0"/>
        <w:adjustRightInd w:val="0"/>
        <w:spacing w:after="0"/>
        <w:ind w:firstLine="0"/>
        <w:jc w:val="center"/>
        <w:rPr>
          <w:rFonts w:eastAsia="Times New Roman" w:cs="Times New Roman"/>
          <w:b/>
          <w:bCs/>
          <w:color w:val="050505"/>
          <w:szCs w:val="24"/>
          <w:lang w:eastAsia="pt-BR"/>
        </w:rPr>
      </w:pP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NORMA OPERACIONAL SPOA Nº</w:t>
      </w:r>
      <w:r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7A596A">
        <w:rPr>
          <w:rFonts w:eastAsia="Times New Roman" w:cs="Times New Roman"/>
          <w:b/>
          <w:bCs/>
          <w:color w:val="050505"/>
          <w:szCs w:val="24"/>
          <w:lang w:eastAsia="pt-BR"/>
        </w:rPr>
        <w:t>XXX</w:t>
      </w: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, DE</w:t>
      </w:r>
      <w:r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7A596A">
        <w:rPr>
          <w:rFonts w:eastAsia="Times New Roman" w:cs="Times New Roman"/>
          <w:b/>
          <w:bCs/>
          <w:color w:val="050505"/>
          <w:szCs w:val="24"/>
          <w:lang w:eastAsia="pt-BR"/>
        </w:rPr>
        <w:t>XX</w:t>
      </w:r>
      <w:r w:rsidR="00EC6A0C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DE</w:t>
      </w:r>
      <w:r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7A596A">
        <w:rPr>
          <w:rFonts w:eastAsia="Times New Roman" w:cs="Times New Roman"/>
          <w:b/>
          <w:bCs/>
          <w:color w:val="050505"/>
          <w:szCs w:val="24"/>
          <w:lang w:eastAsia="pt-BR"/>
        </w:rPr>
        <w:t>JUNHO</w:t>
      </w:r>
      <w:r w:rsidR="00EC6A0C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  <w:r w:rsidR="007A596A">
        <w:rPr>
          <w:rFonts w:eastAsia="Times New Roman" w:cs="Times New Roman"/>
          <w:b/>
          <w:bCs/>
          <w:color w:val="050505"/>
          <w:szCs w:val="24"/>
          <w:lang w:eastAsia="pt-BR"/>
        </w:rPr>
        <w:t>DE 2015</w:t>
      </w:r>
      <w:r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>.</w:t>
      </w:r>
      <w:r w:rsidR="00876788" w:rsidRPr="00107AF5">
        <w:rPr>
          <w:rFonts w:eastAsia="Times New Roman" w:cs="Times New Roman"/>
          <w:b/>
          <w:bCs/>
          <w:color w:val="050505"/>
          <w:szCs w:val="24"/>
          <w:lang w:eastAsia="pt-BR"/>
        </w:rPr>
        <w:t xml:space="preserve"> </w:t>
      </w:r>
    </w:p>
    <w:p w:rsidR="00876788" w:rsidRDefault="00876788" w:rsidP="00256C19">
      <w:pPr>
        <w:ind w:firstLine="0"/>
        <w:jc w:val="center"/>
        <w:rPr>
          <w:b/>
        </w:rPr>
      </w:pPr>
    </w:p>
    <w:p w:rsidR="00876788" w:rsidRPr="00256C19" w:rsidRDefault="00876788" w:rsidP="00256C19">
      <w:pPr>
        <w:ind w:firstLine="0"/>
        <w:jc w:val="center"/>
        <w:rPr>
          <w:b/>
        </w:rPr>
      </w:pPr>
      <w:r w:rsidRPr="00256C19">
        <w:rPr>
          <w:b/>
        </w:rPr>
        <w:t>ANEXO I</w:t>
      </w:r>
      <w:r>
        <w:rPr>
          <w:b/>
        </w:rPr>
        <w:t xml:space="preserve"> </w:t>
      </w:r>
    </w:p>
    <w:p w:rsidR="00224F90" w:rsidRPr="00256C19" w:rsidRDefault="00260F22" w:rsidP="00256C19">
      <w:pPr>
        <w:ind w:firstLine="0"/>
        <w:jc w:val="center"/>
        <w:rPr>
          <w:rFonts w:cs="Times New Roman"/>
          <w:b/>
          <w:szCs w:val="24"/>
        </w:rPr>
      </w:pPr>
      <w:r w:rsidRPr="00256C19">
        <w:rPr>
          <w:rFonts w:cs="Times New Roman"/>
          <w:b/>
          <w:szCs w:val="24"/>
        </w:rPr>
        <w:t>ADAPTAÇÕES</w:t>
      </w:r>
      <w:bookmarkEnd w:id="2"/>
      <w:bookmarkEnd w:id="3"/>
      <w:r w:rsidRPr="00256C19">
        <w:rPr>
          <w:rFonts w:cs="Times New Roman"/>
          <w:b/>
          <w:szCs w:val="24"/>
        </w:rPr>
        <w:t xml:space="preserve"> POSSÍVEIS À MGP-TI</w:t>
      </w:r>
    </w:p>
    <w:p w:rsidR="00224F90" w:rsidRPr="00107AF5" w:rsidRDefault="00224F90" w:rsidP="00224F90">
      <w:pPr>
        <w:rPr>
          <w:rFonts w:cs="Times New Roman"/>
          <w:szCs w:val="24"/>
        </w:rPr>
      </w:pPr>
      <w:r w:rsidRPr="00107AF5">
        <w:rPr>
          <w:rFonts w:cs="Times New Roman"/>
          <w:szCs w:val="24"/>
        </w:rPr>
        <w:t>A MGP</w:t>
      </w:r>
      <w:r w:rsidR="003E41FE" w:rsidRPr="00107AF5">
        <w:rPr>
          <w:rFonts w:cs="Times New Roman"/>
          <w:szCs w:val="24"/>
        </w:rPr>
        <w:t>-TI</w:t>
      </w:r>
      <w:r w:rsidRPr="00107AF5">
        <w:rPr>
          <w:rFonts w:cs="Times New Roman"/>
          <w:szCs w:val="24"/>
        </w:rPr>
        <w:t xml:space="preserve"> foi desenvolvida para apresentar flexibilidade em relação a quaisquer tipos de projeto</w:t>
      </w:r>
      <w:r w:rsidR="000A5A97">
        <w:rPr>
          <w:rFonts w:cs="Times New Roman"/>
          <w:szCs w:val="24"/>
        </w:rPr>
        <w:t>s de TI</w:t>
      </w:r>
      <w:r w:rsidRPr="00107AF5">
        <w:rPr>
          <w:rFonts w:cs="Times New Roman"/>
          <w:szCs w:val="24"/>
        </w:rPr>
        <w:t>, possibilitando a reorganização de suas referências para se adequar a variações de estrutura que cada projeto impõe. Seguem alguns exemplos:</w:t>
      </w:r>
    </w:p>
    <w:p w:rsidR="00224F90" w:rsidRPr="00107AF5" w:rsidRDefault="00224F90" w:rsidP="00224F90">
      <w:pPr>
        <w:rPr>
          <w:rFonts w:cs="Times New Roman"/>
          <w:szCs w:val="24"/>
        </w:rPr>
      </w:pPr>
      <w:r w:rsidRPr="00107AF5">
        <w:rPr>
          <w:rFonts w:cs="Times New Roman"/>
          <w:szCs w:val="24"/>
        </w:rPr>
        <w:t xml:space="preserve">Projetos que </w:t>
      </w:r>
      <w:r w:rsidR="007A596A" w:rsidRPr="00107AF5">
        <w:rPr>
          <w:rFonts w:cs="Times New Roman"/>
          <w:szCs w:val="24"/>
        </w:rPr>
        <w:t>preveem</w:t>
      </w:r>
      <w:r w:rsidRPr="00107AF5">
        <w:rPr>
          <w:rFonts w:cs="Times New Roman"/>
          <w:szCs w:val="24"/>
        </w:rPr>
        <w:t xml:space="preserve"> várias entregas para </w:t>
      </w:r>
      <w:r w:rsidR="00296295" w:rsidRPr="00107AF5">
        <w:rPr>
          <w:rFonts w:cs="Times New Roman"/>
          <w:szCs w:val="24"/>
        </w:rPr>
        <w:t>validações</w:t>
      </w:r>
      <w:r w:rsidRPr="00107AF5">
        <w:rPr>
          <w:rFonts w:cs="Times New Roman"/>
          <w:szCs w:val="24"/>
        </w:rPr>
        <w:t xml:space="preserve">, mas uma única </w:t>
      </w:r>
      <w:r w:rsidR="00296295" w:rsidRPr="00107AF5">
        <w:rPr>
          <w:rFonts w:cs="Times New Roman"/>
          <w:szCs w:val="24"/>
        </w:rPr>
        <w:t>disponibilização</w:t>
      </w:r>
      <w:r w:rsidRPr="00107AF5">
        <w:rPr>
          <w:rFonts w:cs="Times New Roman"/>
          <w:szCs w:val="24"/>
        </w:rPr>
        <w:t>.</w:t>
      </w:r>
    </w:p>
    <w:p w:rsidR="00224F90" w:rsidRPr="00107AF5" w:rsidRDefault="000959E9" w:rsidP="00256C19">
      <w:pPr>
        <w:ind w:firstLine="0"/>
        <w:jc w:val="center"/>
        <w:rPr>
          <w:rFonts w:cs="Times New Roman"/>
          <w:szCs w:val="24"/>
        </w:rPr>
      </w:pPr>
      <w:r w:rsidRPr="00107AF5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279666" cy="21172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p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311" cy="21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0" w:rsidRPr="00107AF5" w:rsidRDefault="00224F90" w:rsidP="00224F90">
      <w:pPr>
        <w:rPr>
          <w:rFonts w:cs="Times New Roman"/>
          <w:szCs w:val="24"/>
        </w:rPr>
      </w:pPr>
      <w:r w:rsidRPr="00107AF5">
        <w:rPr>
          <w:rFonts w:cs="Times New Roman"/>
          <w:szCs w:val="24"/>
        </w:rPr>
        <w:t xml:space="preserve">Projetos que </w:t>
      </w:r>
      <w:r w:rsidR="007A596A" w:rsidRPr="00107AF5">
        <w:rPr>
          <w:rFonts w:cs="Times New Roman"/>
          <w:szCs w:val="24"/>
        </w:rPr>
        <w:t>preveem</w:t>
      </w:r>
      <w:r w:rsidRPr="00107AF5">
        <w:rPr>
          <w:rFonts w:cs="Times New Roman"/>
          <w:szCs w:val="24"/>
        </w:rPr>
        <w:t xml:space="preserve"> várias entregas para </w:t>
      </w:r>
      <w:r w:rsidR="00296295" w:rsidRPr="00107AF5">
        <w:rPr>
          <w:rFonts w:cs="Times New Roman"/>
          <w:szCs w:val="24"/>
        </w:rPr>
        <w:t>validação</w:t>
      </w:r>
      <w:r w:rsidRPr="00107AF5">
        <w:rPr>
          <w:rFonts w:cs="Times New Roman"/>
          <w:szCs w:val="24"/>
        </w:rPr>
        <w:t xml:space="preserve">, com várias </w:t>
      </w:r>
      <w:r w:rsidR="00296295" w:rsidRPr="00107AF5">
        <w:rPr>
          <w:rFonts w:cs="Times New Roman"/>
          <w:szCs w:val="24"/>
        </w:rPr>
        <w:t>disponibilizações</w:t>
      </w:r>
      <w:r w:rsidRPr="00107AF5">
        <w:rPr>
          <w:rFonts w:cs="Times New Roman"/>
          <w:szCs w:val="24"/>
        </w:rPr>
        <w:t>.</w:t>
      </w:r>
    </w:p>
    <w:p w:rsidR="00224F90" w:rsidRPr="00107AF5" w:rsidRDefault="005C523A" w:rsidP="00256C19">
      <w:pPr>
        <w:ind w:firstLine="0"/>
        <w:jc w:val="center"/>
        <w:rPr>
          <w:rFonts w:cs="Times New Roman"/>
          <w:szCs w:val="24"/>
        </w:rPr>
      </w:pPr>
      <w:r w:rsidRPr="00107AF5">
        <w:rPr>
          <w:rFonts w:cs="Times New Roman"/>
          <w:noProof/>
          <w:szCs w:val="24"/>
          <w:lang w:eastAsia="pt-BR"/>
        </w:rPr>
        <w:drawing>
          <wp:inline distT="0" distB="0" distL="0" distR="0">
            <wp:extent cx="5447383" cy="2234316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p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1144" cy="223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90" w:rsidRPr="00107AF5" w:rsidRDefault="00224F90" w:rsidP="00224F90">
      <w:pPr>
        <w:rPr>
          <w:rFonts w:cs="Times New Roman"/>
          <w:szCs w:val="24"/>
        </w:rPr>
      </w:pPr>
      <w:r w:rsidRPr="00107AF5">
        <w:rPr>
          <w:rFonts w:cs="Times New Roman"/>
          <w:szCs w:val="24"/>
        </w:rPr>
        <w:t xml:space="preserve">Projetos em que uma fase formal de </w:t>
      </w:r>
      <w:r w:rsidR="00C27D9D" w:rsidRPr="00107AF5">
        <w:rPr>
          <w:rFonts w:cs="Times New Roman"/>
          <w:szCs w:val="24"/>
        </w:rPr>
        <w:t>planejamento</w:t>
      </w:r>
      <w:r w:rsidRPr="00107AF5">
        <w:rPr>
          <w:rFonts w:cs="Times New Roman"/>
          <w:szCs w:val="24"/>
        </w:rPr>
        <w:t xml:space="preserve"> é dispensável (como por exemplo, um projeto para a definição de um novo processo).</w:t>
      </w:r>
    </w:p>
    <w:p w:rsidR="00224F90" w:rsidRDefault="00A400BE" w:rsidP="00256C19">
      <w:pPr>
        <w:ind w:firstLine="0"/>
        <w:jc w:val="center"/>
        <w:rPr>
          <w:rFonts w:cs="Times New Roman"/>
          <w:szCs w:val="24"/>
        </w:rPr>
      </w:pPr>
      <w:r w:rsidRPr="00107AF5">
        <w:rPr>
          <w:rFonts w:cs="Times New Roman"/>
          <w:noProof/>
          <w:szCs w:val="24"/>
          <w:lang w:eastAsia="pt-BR"/>
        </w:rPr>
        <w:lastRenderedPageBreak/>
        <w:drawing>
          <wp:inline distT="0" distB="0" distL="0" distR="0">
            <wp:extent cx="5760720" cy="198628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pg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81" w:rsidRPr="00107AF5" w:rsidRDefault="00A45281" w:rsidP="00256C19">
      <w:pPr>
        <w:pStyle w:val="Artigo"/>
        <w:numPr>
          <w:ilvl w:val="0"/>
          <w:numId w:val="0"/>
        </w:numPr>
      </w:pPr>
    </w:p>
    <w:sectPr w:rsidR="00A45281" w:rsidRPr="00107AF5" w:rsidSect="005B5D9A">
      <w:headerReference w:type="default" r:id="rId12"/>
      <w:pgSz w:w="11907" w:h="16840" w:code="9"/>
      <w:pgMar w:top="1418" w:right="851" w:bottom="85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57A" w:rsidRDefault="00F6757A">
      <w:pPr>
        <w:spacing w:after="0"/>
      </w:pPr>
      <w:r>
        <w:separator/>
      </w:r>
    </w:p>
  </w:endnote>
  <w:endnote w:type="continuationSeparator" w:id="0">
    <w:p w:rsidR="00F6757A" w:rsidRDefault="00F67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57A" w:rsidRDefault="00F6757A">
      <w:pPr>
        <w:spacing w:after="0"/>
      </w:pPr>
      <w:r>
        <w:separator/>
      </w:r>
    </w:p>
  </w:footnote>
  <w:footnote w:type="continuationSeparator" w:id="0">
    <w:p w:rsidR="00F6757A" w:rsidRDefault="00F6757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2388" w:rsidRDefault="00B92388" w:rsidP="0015273F">
    <w:pPr>
      <w:widowControl w:val="0"/>
      <w:autoSpaceDE w:val="0"/>
      <w:autoSpaceDN w:val="0"/>
      <w:adjustRightInd w:val="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D6D"/>
    <w:multiLevelType w:val="hybridMultilevel"/>
    <w:tmpl w:val="34E2444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536CC"/>
    <w:multiLevelType w:val="hybridMultilevel"/>
    <w:tmpl w:val="EA74EED0"/>
    <w:lvl w:ilvl="0" w:tplc="EE4C7544">
      <w:start w:val="1"/>
      <w:numFmt w:val="upperRoman"/>
      <w:lvlText w:val="%1."/>
      <w:lvlJc w:val="right"/>
      <w:pPr>
        <w:ind w:left="360" w:hanging="360"/>
      </w:pPr>
      <w:rPr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A4603"/>
    <w:multiLevelType w:val="hybridMultilevel"/>
    <w:tmpl w:val="DCAE7FC2"/>
    <w:lvl w:ilvl="0" w:tplc="04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2E5A36"/>
    <w:multiLevelType w:val="hybridMultilevel"/>
    <w:tmpl w:val="DAF0BA54"/>
    <w:lvl w:ilvl="0" w:tplc="C18A5EB0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C30A3"/>
    <w:multiLevelType w:val="hybridMultilevel"/>
    <w:tmpl w:val="1DAA8D42"/>
    <w:lvl w:ilvl="0" w:tplc="841E0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C7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08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D29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182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4CA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8E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ECD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46AE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EC2C0A"/>
    <w:multiLevelType w:val="hybridMultilevel"/>
    <w:tmpl w:val="5A5E566C"/>
    <w:lvl w:ilvl="0" w:tplc="04160013">
      <w:start w:val="1"/>
      <w:numFmt w:val="upperRoman"/>
      <w:lvlText w:val="%1."/>
      <w:lvlJc w:val="righ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7111813"/>
    <w:multiLevelType w:val="hybridMultilevel"/>
    <w:tmpl w:val="FF1C8776"/>
    <w:lvl w:ilvl="0" w:tplc="4C62A994">
      <w:start w:val="5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7">
    <w:nsid w:val="1A8A439E"/>
    <w:multiLevelType w:val="hybridMultilevel"/>
    <w:tmpl w:val="6F4081DE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D0C7D2F"/>
    <w:multiLevelType w:val="hybridMultilevel"/>
    <w:tmpl w:val="6FB4E45C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17711C4"/>
    <w:multiLevelType w:val="hybridMultilevel"/>
    <w:tmpl w:val="9E989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8C3BB9"/>
    <w:multiLevelType w:val="hybridMultilevel"/>
    <w:tmpl w:val="D8E0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177B"/>
    <w:multiLevelType w:val="hybridMultilevel"/>
    <w:tmpl w:val="F6D29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5645F"/>
    <w:multiLevelType w:val="hybridMultilevel"/>
    <w:tmpl w:val="A0648F4C"/>
    <w:lvl w:ilvl="0" w:tplc="E84659F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3F3DF8"/>
    <w:multiLevelType w:val="hybridMultilevel"/>
    <w:tmpl w:val="7A3A7BB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B0B48E3"/>
    <w:multiLevelType w:val="hybridMultilevel"/>
    <w:tmpl w:val="E84C3814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3BC3617A"/>
    <w:multiLevelType w:val="hybridMultilevel"/>
    <w:tmpl w:val="BBAADC8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382752"/>
    <w:multiLevelType w:val="hybridMultilevel"/>
    <w:tmpl w:val="DA907FF4"/>
    <w:lvl w:ilvl="0" w:tplc="0416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F556A08"/>
    <w:multiLevelType w:val="hybridMultilevel"/>
    <w:tmpl w:val="0B6202E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B264FC"/>
    <w:multiLevelType w:val="hybridMultilevel"/>
    <w:tmpl w:val="A54E26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303C5"/>
    <w:multiLevelType w:val="hybridMultilevel"/>
    <w:tmpl w:val="A3849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1237B"/>
    <w:multiLevelType w:val="hybridMultilevel"/>
    <w:tmpl w:val="CB3400A0"/>
    <w:lvl w:ilvl="0" w:tplc="B732AB8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2D60E9"/>
    <w:multiLevelType w:val="hybridMultilevel"/>
    <w:tmpl w:val="3CA86C06"/>
    <w:lvl w:ilvl="0" w:tplc="FE743B82">
      <w:start w:val="1"/>
      <w:numFmt w:val="upperRoman"/>
      <w:lvlText w:val="CAPÍTULO 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6E6D69"/>
    <w:multiLevelType w:val="hybridMultilevel"/>
    <w:tmpl w:val="2CAACD3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F137C"/>
    <w:multiLevelType w:val="hybridMultilevel"/>
    <w:tmpl w:val="4DA640F4"/>
    <w:lvl w:ilvl="0" w:tplc="54B06E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32F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E4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217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2B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CA2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389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5EB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12F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EE5380"/>
    <w:multiLevelType w:val="hybridMultilevel"/>
    <w:tmpl w:val="3A44B836"/>
    <w:lvl w:ilvl="0" w:tplc="8ADA7504">
      <w:start w:val="1"/>
      <w:numFmt w:val="bullet"/>
      <w:lvlText w:val="•"/>
      <w:lvlJc w:val="left"/>
      <w:pPr>
        <w:ind w:left="1068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2A7071D"/>
    <w:multiLevelType w:val="hybridMultilevel"/>
    <w:tmpl w:val="4AA27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E8708D"/>
    <w:multiLevelType w:val="hybridMultilevel"/>
    <w:tmpl w:val="9B4E74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A11F6"/>
    <w:multiLevelType w:val="hybridMultilevel"/>
    <w:tmpl w:val="96166364"/>
    <w:lvl w:ilvl="0" w:tplc="BB5A08D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D339A5"/>
    <w:multiLevelType w:val="hybridMultilevel"/>
    <w:tmpl w:val="5E1CCDDA"/>
    <w:lvl w:ilvl="0" w:tplc="BF18B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C28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ADD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7A9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E5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1E4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0001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14DE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726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9F60ADE"/>
    <w:multiLevelType w:val="hybridMultilevel"/>
    <w:tmpl w:val="427843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1D2D04"/>
    <w:multiLevelType w:val="hybridMultilevel"/>
    <w:tmpl w:val="4936110A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F0A495B"/>
    <w:multiLevelType w:val="hybridMultilevel"/>
    <w:tmpl w:val="79D2F756"/>
    <w:lvl w:ilvl="0" w:tplc="F4E6D8A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CA4420"/>
    <w:multiLevelType w:val="hybridMultilevel"/>
    <w:tmpl w:val="9CFC12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302AA"/>
    <w:multiLevelType w:val="hybridMultilevel"/>
    <w:tmpl w:val="BE508C86"/>
    <w:lvl w:ilvl="0" w:tplc="1340CAC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DB046D"/>
    <w:multiLevelType w:val="hybridMultilevel"/>
    <w:tmpl w:val="7CBE2C9A"/>
    <w:lvl w:ilvl="0" w:tplc="BB5A08D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CBF1C27"/>
    <w:multiLevelType w:val="hybridMultilevel"/>
    <w:tmpl w:val="613A48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282D07"/>
    <w:multiLevelType w:val="hybridMultilevel"/>
    <w:tmpl w:val="5372A5A8"/>
    <w:lvl w:ilvl="0" w:tplc="9D9A8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83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B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24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4F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CE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6B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AF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13E1795"/>
    <w:multiLevelType w:val="hybridMultilevel"/>
    <w:tmpl w:val="A50EB5C2"/>
    <w:lvl w:ilvl="0" w:tplc="3DC06374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F02C90"/>
    <w:multiLevelType w:val="hybridMultilevel"/>
    <w:tmpl w:val="C20A71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6DA"/>
    <w:multiLevelType w:val="hybridMultilevel"/>
    <w:tmpl w:val="F8F8C550"/>
    <w:lvl w:ilvl="0" w:tplc="1734877A">
      <w:start w:val="4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2" w:hanging="360"/>
      </w:pPr>
    </w:lvl>
    <w:lvl w:ilvl="2" w:tplc="0416001B" w:tentative="1">
      <w:start w:val="1"/>
      <w:numFmt w:val="lowerRoman"/>
      <w:lvlText w:val="%3."/>
      <w:lvlJc w:val="right"/>
      <w:pPr>
        <w:ind w:left="1092" w:hanging="180"/>
      </w:pPr>
    </w:lvl>
    <w:lvl w:ilvl="3" w:tplc="0416000F" w:tentative="1">
      <w:start w:val="1"/>
      <w:numFmt w:val="decimal"/>
      <w:lvlText w:val="%4."/>
      <w:lvlJc w:val="left"/>
      <w:pPr>
        <w:ind w:left="1812" w:hanging="360"/>
      </w:pPr>
    </w:lvl>
    <w:lvl w:ilvl="4" w:tplc="04160019" w:tentative="1">
      <w:start w:val="1"/>
      <w:numFmt w:val="lowerLetter"/>
      <w:lvlText w:val="%5."/>
      <w:lvlJc w:val="left"/>
      <w:pPr>
        <w:ind w:left="2532" w:hanging="360"/>
      </w:pPr>
    </w:lvl>
    <w:lvl w:ilvl="5" w:tplc="0416001B" w:tentative="1">
      <w:start w:val="1"/>
      <w:numFmt w:val="lowerRoman"/>
      <w:lvlText w:val="%6."/>
      <w:lvlJc w:val="right"/>
      <w:pPr>
        <w:ind w:left="3252" w:hanging="180"/>
      </w:pPr>
    </w:lvl>
    <w:lvl w:ilvl="6" w:tplc="0416000F" w:tentative="1">
      <w:start w:val="1"/>
      <w:numFmt w:val="decimal"/>
      <w:lvlText w:val="%7."/>
      <w:lvlJc w:val="left"/>
      <w:pPr>
        <w:ind w:left="3972" w:hanging="360"/>
      </w:pPr>
    </w:lvl>
    <w:lvl w:ilvl="7" w:tplc="04160019" w:tentative="1">
      <w:start w:val="1"/>
      <w:numFmt w:val="lowerLetter"/>
      <w:lvlText w:val="%8."/>
      <w:lvlJc w:val="left"/>
      <w:pPr>
        <w:ind w:left="4692" w:hanging="360"/>
      </w:pPr>
    </w:lvl>
    <w:lvl w:ilvl="8" w:tplc="0416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40">
    <w:nsid w:val="79533A49"/>
    <w:multiLevelType w:val="hybridMultilevel"/>
    <w:tmpl w:val="A7DE9FF2"/>
    <w:lvl w:ilvl="0" w:tplc="84E84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0619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0428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0A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6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226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0A2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A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249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>
    <w:nsid w:val="7A8D3B93"/>
    <w:multiLevelType w:val="hybridMultilevel"/>
    <w:tmpl w:val="05503F66"/>
    <w:lvl w:ilvl="0" w:tplc="8ADA7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C6D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483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383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E26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5C7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D23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004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5C5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>
    <w:nsid w:val="7BDA24FB"/>
    <w:multiLevelType w:val="hybridMultilevel"/>
    <w:tmpl w:val="B914B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DB118B"/>
    <w:multiLevelType w:val="multilevel"/>
    <w:tmpl w:val="9116750A"/>
    <w:lvl w:ilvl="0">
      <w:start w:val="1"/>
      <w:numFmt w:val="ordinal"/>
      <w:pStyle w:val="Artigo"/>
      <w:suff w:val="space"/>
      <w:lvlText w:val="Art. %1"/>
      <w:lvlJc w:val="left"/>
      <w:pPr>
        <w:ind w:left="0" w:firstLine="709"/>
      </w:pPr>
      <w:rPr>
        <w:rFonts w:hint="default"/>
      </w:rPr>
    </w:lvl>
    <w:lvl w:ilvl="1">
      <w:start w:val="1"/>
      <w:numFmt w:val="ordinal"/>
      <w:pStyle w:val="Pargrafo"/>
      <w:suff w:val="space"/>
      <w:lvlText w:val="§ %2"/>
      <w:lvlJc w:val="left"/>
      <w:pPr>
        <w:ind w:left="4253" w:firstLine="709"/>
      </w:pPr>
      <w:rPr>
        <w:rFonts w:hint="default"/>
      </w:rPr>
    </w:lvl>
    <w:lvl w:ilvl="2">
      <w:start w:val="1"/>
      <w:numFmt w:val="upperRoman"/>
      <w:pStyle w:val="Inciso"/>
      <w:suff w:val="space"/>
      <w:lvlText w:val="%3 - "/>
      <w:lvlJc w:val="left"/>
      <w:pPr>
        <w:ind w:left="-283" w:firstLine="709"/>
      </w:pPr>
      <w:rPr>
        <w:rFonts w:hint="default"/>
      </w:rPr>
    </w:lvl>
    <w:lvl w:ilvl="3">
      <w:start w:val="1"/>
      <w:numFmt w:val="lowerLetter"/>
      <w:pStyle w:val="Alnea"/>
      <w:suff w:val="space"/>
      <w:lvlText w:val="%4)"/>
      <w:lvlJc w:val="left"/>
      <w:pPr>
        <w:ind w:left="0" w:firstLine="709"/>
      </w:pPr>
      <w:rPr>
        <w:rFonts w:hint="default"/>
      </w:rPr>
    </w:lvl>
    <w:lvl w:ilvl="4">
      <w:start w:val="1"/>
      <w:numFmt w:val="lowerRoman"/>
      <w:pStyle w:val="Subalnea"/>
      <w:suff w:val="space"/>
      <w:lvlText w:val="%5)"/>
      <w:lvlJc w:val="left"/>
      <w:pPr>
        <w:ind w:left="0" w:firstLine="1134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991"/>
        </w:tabs>
        <w:ind w:left="2991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3135"/>
        </w:tabs>
        <w:ind w:left="3135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79"/>
        </w:tabs>
        <w:ind w:left="3279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423" w:hanging="144"/>
      </w:pPr>
      <w:rPr>
        <w:rFonts w:hint="default"/>
      </w:rPr>
    </w:lvl>
  </w:abstractNum>
  <w:abstractNum w:abstractNumId="44">
    <w:nsid w:val="7F8C694F"/>
    <w:multiLevelType w:val="hybridMultilevel"/>
    <w:tmpl w:val="7368F928"/>
    <w:lvl w:ilvl="0" w:tplc="24D6A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3E2F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D0F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F63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903D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0438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4B4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291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9E14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9"/>
  </w:num>
  <w:num w:numId="3">
    <w:abstractNumId w:val="42"/>
  </w:num>
  <w:num w:numId="4">
    <w:abstractNumId w:val="10"/>
  </w:num>
  <w:num w:numId="5">
    <w:abstractNumId w:val="18"/>
  </w:num>
  <w:num w:numId="6">
    <w:abstractNumId w:val="25"/>
  </w:num>
  <w:num w:numId="7">
    <w:abstractNumId w:val="43"/>
  </w:num>
  <w:num w:numId="8">
    <w:abstractNumId w:val="11"/>
  </w:num>
  <w:num w:numId="9">
    <w:abstractNumId w:val="32"/>
  </w:num>
  <w:num w:numId="10">
    <w:abstractNumId w:val="22"/>
  </w:num>
  <w:num w:numId="11">
    <w:abstractNumId w:val="8"/>
  </w:num>
  <w:num w:numId="12">
    <w:abstractNumId w:val="7"/>
  </w:num>
  <w:num w:numId="13">
    <w:abstractNumId w:val="14"/>
  </w:num>
  <w:num w:numId="14">
    <w:abstractNumId w:val="13"/>
  </w:num>
  <w:num w:numId="15">
    <w:abstractNumId w:val="26"/>
  </w:num>
  <w:num w:numId="16">
    <w:abstractNumId w:val="38"/>
  </w:num>
  <w:num w:numId="17">
    <w:abstractNumId w:val="27"/>
  </w:num>
  <w:num w:numId="18">
    <w:abstractNumId w:val="34"/>
  </w:num>
  <w:num w:numId="19">
    <w:abstractNumId w:val="1"/>
  </w:num>
  <w:num w:numId="20">
    <w:abstractNumId w:val="12"/>
  </w:num>
  <w:num w:numId="21">
    <w:abstractNumId w:val="20"/>
  </w:num>
  <w:num w:numId="22">
    <w:abstractNumId w:val="0"/>
  </w:num>
  <w:num w:numId="23">
    <w:abstractNumId w:val="37"/>
  </w:num>
  <w:num w:numId="24">
    <w:abstractNumId w:val="5"/>
  </w:num>
  <w:num w:numId="25">
    <w:abstractNumId w:val="33"/>
  </w:num>
  <w:num w:numId="26">
    <w:abstractNumId w:val="30"/>
  </w:num>
  <w:num w:numId="27">
    <w:abstractNumId w:val="2"/>
  </w:num>
  <w:num w:numId="28">
    <w:abstractNumId w:val="39"/>
  </w:num>
  <w:num w:numId="29">
    <w:abstractNumId w:val="16"/>
  </w:num>
  <w:num w:numId="30">
    <w:abstractNumId w:val="6"/>
  </w:num>
  <w:num w:numId="31">
    <w:abstractNumId w:val="23"/>
  </w:num>
  <w:num w:numId="32">
    <w:abstractNumId w:val="19"/>
  </w:num>
  <w:num w:numId="33">
    <w:abstractNumId w:val="41"/>
  </w:num>
  <w:num w:numId="34">
    <w:abstractNumId w:val="4"/>
  </w:num>
  <w:num w:numId="35">
    <w:abstractNumId w:val="44"/>
  </w:num>
  <w:num w:numId="36">
    <w:abstractNumId w:val="24"/>
  </w:num>
  <w:num w:numId="37">
    <w:abstractNumId w:val="40"/>
  </w:num>
  <w:num w:numId="38">
    <w:abstractNumId w:val="28"/>
  </w:num>
  <w:num w:numId="39">
    <w:abstractNumId w:val="36"/>
  </w:num>
  <w:num w:numId="40">
    <w:abstractNumId w:val="21"/>
  </w:num>
  <w:num w:numId="41">
    <w:abstractNumId w:val="35"/>
  </w:num>
  <w:num w:numId="42">
    <w:abstractNumId w:val="15"/>
  </w:num>
  <w:num w:numId="43">
    <w:abstractNumId w:val="17"/>
  </w:num>
  <w:num w:numId="44">
    <w:abstractNumId w:val="31"/>
  </w:num>
  <w:num w:numId="45">
    <w:abstractNumId w:val="3"/>
  </w:num>
  <w:num w:numId="4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4F90"/>
    <w:rsid w:val="00002E54"/>
    <w:rsid w:val="000124BB"/>
    <w:rsid w:val="00026346"/>
    <w:rsid w:val="000312E2"/>
    <w:rsid w:val="00041886"/>
    <w:rsid w:val="00046E1C"/>
    <w:rsid w:val="00055C79"/>
    <w:rsid w:val="000959E9"/>
    <w:rsid w:val="000A5A97"/>
    <w:rsid w:val="000C0D14"/>
    <w:rsid w:val="000C24B2"/>
    <w:rsid w:val="000C6218"/>
    <w:rsid w:val="000D286F"/>
    <w:rsid w:val="000D2A4B"/>
    <w:rsid w:val="000D6463"/>
    <w:rsid w:val="000E1D58"/>
    <w:rsid w:val="000E2866"/>
    <w:rsid w:val="000F1496"/>
    <w:rsid w:val="000F330F"/>
    <w:rsid w:val="00105B72"/>
    <w:rsid w:val="00106EDF"/>
    <w:rsid w:val="00107AF5"/>
    <w:rsid w:val="00117CA1"/>
    <w:rsid w:val="001364C3"/>
    <w:rsid w:val="001373B4"/>
    <w:rsid w:val="00142467"/>
    <w:rsid w:val="0015273F"/>
    <w:rsid w:val="00155598"/>
    <w:rsid w:val="00156099"/>
    <w:rsid w:val="001628F1"/>
    <w:rsid w:val="00174E25"/>
    <w:rsid w:val="00177A3D"/>
    <w:rsid w:val="001925A3"/>
    <w:rsid w:val="001A35F9"/>
    <w:rsid w:val="001A39CB"/>
    <w:rsid w:val="001A55CC"/>
    <w:rsid w:val="001A5793"/>
    <w:rsid w:val="001A7282"/>
    <w:rsid w:val="001B075A"/>
    <w:rsid w:val="001C223C"/>
    <w:rsid w:val="001D5819"/>
    <w:rsid w:val="001E1C70"/>
    <w:rsid w:val="001E3F66"/>
    <w:rsid w:val="001E407A"/>
    <w:rsid w:val="001E7613"/>
    <w:rsid w:val="00212CEE"/>
    <w:rsid w:val="00224F90"/>
    <w:rsid w:val="002262AF"/>
    <w:rsid w:val="00227010"/>
    <w:rsid w:val="00256C19"/>
    <w:rsid w:val="00260F22"/>
    <w:rsid w:val="00273371"/>
    <w:rsid w:val="00295755"/>
    <w:rsid w:val="00296295"/>
    <w:rsid w:val="002A29F4"/>
    <w:rsid w:val="002A72A5"/>
    <w:rsid w:val="002B24E5"/>
    <w:rsid w:val="002C72B0"/>
    <w:rsid w:val="002D3223"/>
    <w:rsid w:val="00307329"/>
    <w:rsid w:val="00327A47"/>
    <w:rsid w:val="00335366"/>
    <w:rsid w:val="00336965"/>
    <w:rsid w:val="00347C6D"/>
    <w:rsid w:val="00347FB2"/>
    <w:rsid w:val="0036505A"/>
    <w:rsid w:val="00365B60"/>
    <w:rsid w:val="0037185E"/>
    <w:rsid w:val="00375847"/>
    <w:rsid w:val="003822B2"/>
    <w:rsid w:val="003825AF"/>
    <w:rsid w:val="003A338C"/>
    <w:rsid w:val="003A6717"/>
    <w:rsid w:val="003D59C8"/>
    <w:rsid w:val="003E40B4"/>
    <w:rsid w:val="003E41FE"/>
    <w:rsid w:val="003E62E1"/>
    <w:rsid w:val="004051CF"/>
    <w:rsid w:val="00411CD0"/>
    <w:rsid w:val="004406A2"/>
    <w:rsid w:val="00440DE0"/>
    <w:rsid w:val="00447944"/>
    <w:rsid w:val="0046774E"/>
    <w:rsid w:val="0047237D"/>
    <w:rsid w:val="00481AA0"/>
    <w:rsid w:val="00494801"/>
    <w:rsid w:val="004A5B94"/>
    <w:rsid w:val="004B23D0"/>
    <w:rsid w:val="004D4A3E"/>
    <w:rsid w:val="004D4B19"/>
    <w:rsid w:val="004F17C6"/>
    <w:rsid w:val="00500575"/>
    <w:rsid w:val="005155F0"/>
    <w:rsid w:val="00534AD1"/>
    <w:rsid w:val="00541068"/>
    <w:rsid w:val="00541668"/>
    <w:rsid w:val="0054167A"/>
    <w:rsid w:val="00550EE7"/>
    <w:rsid w:val="00555F16"/>
    <w:rsid w:val="0056118E"/>
    <w:rsid w:val="00595632"/>
    <w:rsid w:val="00596515"/>
    <w:rsid w:val="005B5D9A"/>
    <w:rsid w:val="005C523A"/>
    <w:rsid w:val="005E296B"/>
    <w:rsid w:val="005F6EA9"/>
    <w:rsid w:val="005F6F3A"/>
    <w:rsid w:val="00602433"/>
    <w:rsid w:val="00603876"/>
    <w:rsid w:val="006046C0"/>
    <w:rsid w:val="006075C5"/>
    <w:rsid w:val="00626292"/>
    <w:rsid w:val="00636969"/>
    <w:rsid w:val="00637D47"/>
    <w:rsid w:val="00643CBF"/>
    <w:rsid w:val="006454E8"/>
    <w:rsid w:val="0064562F"/>
    <w:rsid w:val="00652DFB"/>
    <w:rsid w:val="0065668A"/>
    <w:rsid w:val="00657275"/>
    <w:rsid w:val="00663D39"/>
    <w:rsid w:val="006805FD"/>
    <w:rsid w:val="00687D3A"/>
    <w:rsid w:val="006A5408"/>
    <w:rsid w:val="006A67AD"/>
    <w:rsid w:val="006A7475"/>
    <w:rsid w:val="006D5C83"/>
    <w:rsid w:val="006E07BB"/>
    <w:rsid w:val="006E5641"/>
    <w:rsid w:val="007320EF"/>
    <w:rsid w:val="00741365"/>
    <w:rsid w:val="007820A6"/>
    <w:rsid w:val="00784187"/>
    <w:rsid w:val="0078779B"/>
    <w:rsid w:val="007A596A"/>
    <w:rsid w:val="007B08F6"/>
    <w:rsid w:val="007B2DFF"/>
    <w:rsid w:val="007B4A7E"/>
    <w:rsid w:val="007C4FFA"/>
    <w:rsid w:val="007D38CB"/>
    <w:rsid w:val="007D69F5"/>
    <w:rsid w:val="007E5911"/>
    <w:rsid w:val="0080755E"/>
    <w:rsid w:val="00813979"/>
    <w:rsid w:val="008505E5"/>
    <w:rsid w:val="008523EE"/>
    <w:rsid w:val="0087075D"/>
    <w:rsid w:val="00875F46"/>
    <w:rsid w:val="00876788"/>
    <w:rsid w:val="008927F4"/>
    <w:rsid w:val="008A014C"/>
    <w:rsid w:val="008A5E43"/>
    <w:rsid w:val="008B7710"/>
    <w:rsid w:val="008C4933"/>
    <w:rsid w:val="008E2F18"/>
    <w:rsid w:val="008F674C"/>
    <w:rsid w:val="00923CE3"/>
    <w:rsid w:val="00924ADF"/>
    <w:rsid w:val="00942ABA"/>
    <w:rsid w:val="00943F9C"/>
    <w:rsid w:val="00950333"/>
    <w:rsid w:val="009741DE"/>
    <w:rsid w:val="0097562B"/>
    <w:rsid w:val="00991365"/>
    <w:rsid w:val="009A08BC"/>
    <w:rsid w:val="009A26FA"/>
    <w:rsid w:val="009B380F"/>
    <w:rsid w:val="009C04F0"/>
    <w:rsid w:val="009C0591"/>
    <w:rsid w:val="009E020C"/>
    <w:rsid w:val="00A16DFA"/>
    <w:rsid w:val="00A17847"/>
    <w:rsid w:val="00A400BE"/>
    <w:rsid w:val="00A40299"/>
    <w:rsid w:val="00A45281"/>
    <w:rsid w:val="00A50348"/>
    <w:rsid w:val="00A656A2"/>
    <w:rsid w:val="00A74089"/>
    <w:rsid w:val="00A836C8"/>
    <w:rsid w:val="00AA57A1"/>
    <w:rsid w:val="00AB4EF4"/>
    <w:rsid w:val="00AC44A9"/>
    <w:rsid w:val="00B06BCC"/>
    <w:rsid w:val="00B11530"/>
    <w:rsid w:val="00B21514"/>
    <w:rsid w:val="00B222DF"/>
    <w:rsid w:val="00B25758"/>
    <w:rsid w:val="00B319F4"/>
    <w:rsid w:val="00B37154"/>
    <w:rsid w:val="00B4335F"/>
    <w:rsid w:val="00B52FE1"/>
    <w:rsid w:val="00B67081"/>
    <w:rsid w:val="00B80BF2"/>
    <w:rsid w:val="00B92388"/>
    <w:rsid w:val="00BA180D"/>
    <w:rsid w:val="00BA39B6"/>
    <w:rsid w:val="00BA5B09"/>
    <w:rsid w:val="00BB3E59"/>
    <w:rsid w:val="00BB4F9D"/>
    <w:rsid w:val="00C1281D"/>
    <w:rsid w:val="00C14238"/>
    <w:rsid w:val="00C27829"/>
    <w:rsid w:val="00C27D9D"/>
    <w:rsid w:val="00C35AA4"/>
    <w:rsid w:val="00C46D74"/>
    <w:rsid w:val="00C5203B"/>
    <w:rsid w:val="00C54788"/>
    <w:rsid w:val="00C731F6"/>
    <w:rsid w:val="00C92855"/>
    <w:rsid w:val="00C93A67"/>
    <w:rsid w:val="00C9592D"/>
    <w:rsid w:val="00CC1CE0"/>
    <w:rsid w:val="00CC4728"/>
    <w:rsid w:val="00CD2C3C"/>
    <w:rsid w:val="00CE14B3"/>
    <w:rsid w:val="00CE3BE8"/>
    <w:rsid w:val="00D0504A"/>
    <w:rsid w:val="00D25C00"/>
    <w:rsid w:val="00D328A7"/>
    <w:rsid w:val="00D50314"/>
    <w:rsid w:val="00D61313"/>
    <w:rsid w:val="00D627F7"/>
    <w:rsid w:val="00D65530"/>
    <w:rsid w:val="00D75462"/>
    <w:rsid w:val="00D77C20"/>
    <w:rsid w:val="00D80B64"/>
    <w:rsid w:val="00D8760D"/>
    <w:rsid w:val="00D977D2"/>
    <w:rsid w:val="00DC2CFA"/>
    <w:rsid w:val="00DC5DB3"/>
    <w:rsid w:val="00DD61C8"/>
    <w:rsid w:val="00DF4861"/>
    <w:rsid w:val="00DF6D14"/>
    <w:rsid w:val="00DF7669"/>
    <w:rsid w:val="00E001D2"/>
    <w:rsid w:val="00E01950"/>
    <w:rsid w:val="00E0233C"/>
    <w:rsid w:val="00E10EA0"/>
    <w:rsid w:val="00E3147D"/>
    <w:rsid w:val="00E74F80"/>
    <w:rsid w:val="00E81144"/>
    <w:rsid w:val="00EA36FA"/>
    <w:rsid w:val="00EA5057"/>
    <w:rsid w:val="00EA565B"/>
    <w:rsid w:val="00EB2BFE"/>
    <w:rsid w:val="00EC5B7B"/>
    <w:rsid w:val="00EC6A0C"/>
    <w:rsid w:val="00ED64D5"/>
    <w:rsid w:val="00EF3F0A"/>
    <w:rsid w:val="00F02326"/>
    <w:rsid w:val="00F025C6"/>
    <w:rsid w:val="00F043FA"/>
    <w:rsid w:val="00F31EE5"/>
    <w:rsid w:val="00F36E7C"/>
    <w:rsid w:val="00F45261"/>
    <w:rsid w:val="00F50731"/>
    <w:rsid w:val="00F50DBB"/>
    <w:rsid w:val="00F53C15"/>
    <w:rsid w:val="00F606F7"/>
    <w:rsid w:val="00F6757A"/>
    <w:rsid w:val="00F73BB9"/>
    <w:rsid w:val="00FA563F"/>
    <w:rsid w:val="00FB5FBF"/>
    <w:rsid w:val="00FC69CE"/>
    <w:rsid w:val="00FD73E7"/>
    <w:rsid w:val="00FE1EE5"/>
    <w:rsid w:val="00F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005E3-6ACF-4C0E-900A-F71ECF0F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17"/>
    <w:pPr>
      <w:spacing w:line="240" w:lineRule="auto"/>
      <w:ind w:firstLine="1418"/>
      <w:jc w:val="both"/>
    </w:pPr>
    <w:rPr>
      <w:rFonts w:ascii="Times New Roman" w:hAnsi="Times New Roman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9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F9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F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813979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C24B2"/>
    <w:pPr>
      <w:ind w:left="720"/>
      <w:contextualSpacing/>
    </w:pPr>
  </w:style>
  <w:style w:type="paragraph" w:customStyle="1" w:styleId="Artigo">
    <w:name w:val="Artigo"/>
    <w:basedOn w:val="Normal"/>
    <w:rsid w:val="003A6717"/>
    <w:pPr>
      <w:numPr>
        <w:numId w:val="7"/>
      </w:numPr>
      <w:ind w:firstLine="1418"/>
    </w:pPr>
    <w:rPr>
      <w:rFonts w:eastAsia="Times New Roman" w:cs="Times New Roman"/>
      <w:szCs w:val="24"/>
      <w:lang w:eastAsia="pt-BR"/>
    </w:rPr>
  </w:style>
  <w:style w:type="paragraph" w:customStyle="1" w:styleId="Pargrafo">
    <w:name w:val="Parágrafo"/>
    <w:basedOn w:val="Ttulo3"/>
    <w:rsid w:val="003A6717"/>
    <w:pPr>
      <w:keepNext w:val="0"/>
      <w:keepLines w:val="0"/>
      <w:numPr>
        <w:ilvl w:val="1"/>
        <w:numId w:val="7"/>
      </w:numPr>
      <w:tabs>
        <w:tab w:val="num" w:pos="360"/>
      </w:tabs>
      <w:spacing w:before="0" w:after="200"/>
      <w:ind w:left="0" w:firstLine="0"/>
      <w:outlineLvl w:val="1"/>
    </w:pPr>
    <w:rPr>
      <w:rFonts w:ascii="Times New Roman" w:eastAsia="Times New Roman" w:hAnsi="Times New Roman" w:cs="Times New Roman"/>
      <w:b w:val="0"/>
      <w:bCs w:val="0"/>
      <w:color w:val="auto"/>
      <w:szCs w:val="20"/>
      <w:lang w:eastAsia="pt-BR"/>
    </w:rPr>
  </w:style>
  <w:style w:type="paragraph" w:customStyle="1" w:styleId="Inciso">
    <w:name w:val="Inciso"/>
    <w:basedOn w:val="Normal"/>
    <w:next w:val="Normal"/>
    <w:rsid w:val="00EA565B"/>
    <w:pPr>
      <w:numPr>
        <w:ilvl w:val="2"/>
        <w:numId w:val="7"/>
      </w:numPr>
      <w:ind w:left="0" w:firstLine="0"/>
    </w:pPr>
    <w:rPr>
      <w:rFonts w:eastAsia="Times New Roman" w:cs="Times New Roman"/>
      <w:szCs w:val="24"/>
      <w:lang w:eastAsia="pt-BR"/>
    </w:rPr>
  </w:style>
  <w:style w:type="paragraph" w:customStyle="1" w:styleId="Alnea">
    <w:name w:val="Alínea"/>
    <w:basedOn w:val="Normal"/>
    <w:rsid w:val="003A6717"/>
    <w:pPr>
      <w:numPr>
        <w:ilvl w:val="3"/>
        <w:numId w:val="7"/>
      </w:numPr>
    </w:pPr>
    <w:rPr>
      <w:rFonts w:eastAsia="Times New Roman" w:cs="Times New Roman"/>
      <w:szCs w:val="24"/>
      <w:lang w:eastAsia="pt-BR"/>
    </w:rPr>
  </w:style>
  <w:style w:type="paragraph" w:customStyle="1" w:styleId="Subalnea">
    <w:name w:val="Subalínea"/>
    <w:basedOn w:val="Alnea"/>
    <w:rsid w:val="003A6717"/>
    <w:pPr>
      <w:numPr>
        <w:ilvl w:val="4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sid w:val="00FE39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Captulo">
    <w:name w:val="Capítulo"/>
    <w:basedOn w:val="Normal"/>
    <w:qFormat/>
    <w:rsid w:val="009A26FA"/>
    <w:pPr>
      <w:ind w:firstLine="0"/>
      <w:jc w:val="center"/>
    </w:pPr>
    <w:rPr>
      <w:caps/>
    </w:rPr>
  </w:style>
  <w:style w:type="paragraph" w:customStyle="1" w:styleId="Textbody">
    <w:name w:val="Text body"/>
    <w:basedOn w:val="Normal"/>
    <w:rsid w:val="00924ADF"/>
    <w:pPr>
      <w:widowControl w:val="0"/>
      <w:suppressAutoHyphens/>
      <w:autoSpaceDN w:val="0"/>
      <w:spacing w:after="120"/>
      <w:jc w:val="left"/>
      <w:textAlignment w:val="baseline"/>
    </w:pPr>
    <w:rPr>
      <w:rFonts w:eastAsia="SimSun" w:cs="Tahoma"/>
      <w:kern w:val="3"/>
      <w:szCs w:val="24"/>
      <w:lang w:eastAsia="zh-CN" w:bidi="hi-IN"/>
    </w:rPr>
  </w:style>
  <w:style w:type="paragraph" w:styleId="Corpodetexto">
    <w:name w:val="Body Text"/>
    <w:basedOn w:val="Normal"/>
    <w:link w:val="CorpodetextoChar"/>
    <w:rsid w:val="00117CA1"/>
    <w:pPr>
      <w:widowControl w:val="0"/>
      <w:suppressAutoHyphens/>
      <w:spacing w:after="120"/>
      <w:ind w:firstLine="0"/>
      <w:jc w:val="left"/>
    </w:pPr>
    <w:rPr>
      <w:rFonts w:eastAsia="SimSun" w:cs="Tahoma"/>
      <w:kern w:val="1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117CA1"/>
    <w:rPr>
      <w:rFonts w:ascii="Times New Roman" w:eastAsia="SimSun" w:hAnsi="Times New Roman" w:cs="Tahoma"/>
      <w:kern w:val="1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1560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560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56099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560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5609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45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8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632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52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27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4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70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212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5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437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8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92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22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344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807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02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894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860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47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11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8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536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26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6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128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619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420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05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2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9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65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6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981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7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239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6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0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14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45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777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79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21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7163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872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6880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3181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234">
          <w:marLeft w:val="1166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7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564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815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136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6322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298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110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6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058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8083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507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1734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068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761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553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8408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3705">
          <w:marLeft w:val="126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087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21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04CC7-6505-413D-860A-A4B89A925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3262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Fernandes Albuquerque Lima</dc:creator>
  <cp:lastModifiedBy>Diego Luiz Dorgam Aguilera</cp:lastModifiedBy>
  <cp:revision>4</cp:revision>
  <dcterms:created xsi:type="dcterms:W3CDTF">2012-09-13T15:27:00Z</dcterms:created>
  <dcterms:modified xsi:type="dcterms:W3CDTF">2015-09-01T17:40:00Z</dcterms:modified>
</cp:coreProperties>
</file>