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AC" w:rsidRPr="000703AC" w:rsidRDefault="000703AC" w:rsidP="000703AC">
      <w:pPr>
        <w:spacing w:after="0" w:line="240" w:lineRule="auto"/>
        <w:textAlignment w:val="center"/>
        <w:rPr>
          <w:rFonts w:ascii="Times New Roman" w:eastAsia="Times New Roman" w:hAnsi="Times New Roman" w:cs="Times New Roman"/>
          <w:color w:val="000000"/>
          <w:sz w:val="24"/>
          <w:szCs w:val="24"/>
          <w:lang w:eastAsia="pt-BR"/>
        </w:rPr>
      </w:pPr>
      <w:bookmarkStart w:id="0" w:name="_GoBack"/>
      <w:bookmarkEnd w:id="0"/>
      <w:r w:rsidRPr="000703AC">
        <w:rPr>
          <w:rFonts w:ascii="Arial" w:eastAsia="Times New Roman" w:hAnsi="Arial" w:cs="Arial"/>
          <w:b/>
          <w:bCs/>
          <w:color w:val="207136"/>
          <w:sz w:val="27"/>
          <w:szCs w:val="27"/>
          <w:bdr w:val="none" w:sz="0" w:space="0" w:color="auto" w:frame="1"/>
          <w:lang w:eastAsia="pt-BR"/>
        </w:rPr>
        <w:t xml:space="preserve">Modernização da Administração Tributária e da Gestão dos Setores Sociais Básicos </w:t>
      </w:r>
      <w:r w:rsidR="002B74CA">
        <w:rPr>
          <w:rFonts w:ascii="Arial" w:eastAsia="Times New Roman" w:hAnsi="Arial" w:cs="Arial"/>
          <w:b/>
          <w:bCs/>
          <w:color w:val="207136"/>
          <w:sz w:val="27"/>
          <w:szCs w:val="27"/>
          <w:bdr w:val="none" w:sz="0" w:space="0" w:color="auto" w:frame="1"/>
          <w:lang w:eastAsia="pt-BR"/>
        </w:rPr>
        <w:t>–</w:t>
      </w:r>
      <w:r w:rsidRPr="000703AC">
        <w:rPr>
          <w:rFonts w:ascii="Arial" w:eastAsia="Times New Roman" w:hAnsi="Arial" w:cs="Arial"/>
          <w:b/>
          <w:bCs/>
          <w:color w:val="207136"/>
          <w:sz w:val="27"/>
          <w:szCs w:val="27"/>
          <w:bdr w:val="none" w:sz="0" w:space="0" w:color="auto" w:frame="1"/>
          <w:lang w:eastAsia="pt-BR"/>
        </w:rPr>
        <w:t xml:space="preserve"> BNDES</w:t>
      </w:r>
      <w:r w:rsidR="002B74CA">
        <w:rPr>
          <w:rFonts w:ascii="Arial" w:eastAsia="Times New Roman" w:hAnsi="Arial" w:cs="Arial"/>
          <w:b/>
          <w:bCs/>
          <w:color w:val="207136"/>
          <w:sz w:val="27"/>
          <w:szCs w:val="27"/>
          <w:bdr w:val="none" w:sz="0" w:space="0" w:color="auto" w:frame="1"/>
          <w:lang w:eastAsia="pt-BR"/>
        </w:rPr>
        <w:t xml:space="preserve"> </w:t>
      </w:r>
      <w:r w:rsidRPr="000703AC">
        <w:rPr>
          <w:rFonts w:ascii="Arial" w:eastAsia="Times New Roman" w:hAnsi="Arial" w:cs="Arial"/>
          <w:b/>
          <w:bCs/>
          <w:color w:val="207136"/>
          <w:sz w:val="27"/>
          <w:szCs w:val="27"/>
          <w:bdr w:val="none" w:sz="0" w:space="0" w:color="auto" w:frame="1"/>
          <w:lang w:eastAsia="pt-BR"/>
        </w:rPr>
        <w:t>PMAT</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Objetivo</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 xml:space="preserve">Apoiar projetos de investimento da Administração </w:t>
      </w:r>
      <w:proofErr w:type="gramStart"/>
      <w:r w:rsidRPr="000703AC">
        <w:rPr>
          <w:rFonts w:ascii="Arial" w:eastAsia="Times New Roman" w:hAnsi="Arial" w:cs="Arial"/>
          <w:color w:val="333333"/>
          <w:sz w:val="18"/>
          <w:szCs w:val="18"/>
          <w:lang w:eastAsia="pt-BR"/>
        </w:rPr>
        <w:t>Pública Municipal voltados</w:t>
      </w:r>
      <w:proofErr w:type="gramEnd"/>
      <w:r w:rsidRPr="000703AC">
        <w:rPr>
          <w:rFonts w:ascii="Arial" w:eastAsia="Times New Roman" w:hAnsi="Arial" w:cs="Arial"/>
          <w:color w:val="333333"/>
          <w:sz w:val="18"/>
          <w:szCs w:val="18"/>
          <w:lang w:eastAsia="pt-BR"/>
        </w:rPr>
        <w:t xml:space="preserve"> à modernização da administração tributária e à melhoria da qualidade do gasto público, a fim de proporcionar aos municípios uma gestão eficiente, que gere aumento de receitas e/ou redução do custo unitário dos serviços prestados à coletividade.</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Clientes</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Municípios com população acima de 150 mil habitantes.</w:t>
      </w:r>
    </w:p>
    <w:p w:rsidR="000703AC" w:rsidRPr="000703AC" w:rsidRDefault="000703AC" w:rsidP="002B74CA">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 xml:space="preserve">Para fins de determinação do número de habitantes, serão observados os contingentes populacionais da Contagem da População ou do Censo </w:t>
      </w:r>
      <w:proofErr w:type="gramStart"/>
      <w:r w:rsidRPr="000703AC">
        <w:rPr>
          <w:rFonts w:ascii="Arial" w:eastAsia="Times New Roman" w:hAnsi="Arial" w:cs="Arial"/>
          <w:color w:val="333333"/>
          <w:sz w:val="18"/>
          <w:szCs w:val="18"/>
          <w:lang w:eastAsia="pt-BR"/>
        </w:rPr>
        <w:t>Demográfico (aquele que for o mais recente) divulgados</w:t>
      </w:r>
      <w:proofErr w:type="gramEnd"/>
      <w:r w:rsidRPr="000703AC">
        <w:rPr>
          <w:rFonts w:ascii="Arial" w:eastAsia="Times New Roman" w:hAnsi="Arial" w:cs="Arial"/>
          <w:color w:val="333333"/>
          <w:sz w:val="18"/>
          <w:szCs w:val="18"/>
          <w:lang w:eastAsia="pt-BR"/>
        </w:rPr>
        <w:t xml:space="preserve"> pelo IBGE, disponíveis na data do protocolo do pedido de financiamento.</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Municípios com população inferior ou igual a 150 mil habitantes devem utilizar o programa</w:t>
      </w:r>
      <w:r w:rsidR="002B74CA">
        <w:rPr>
          <w:rFonts w:ascii="Arial" w:eastAsia="Times New Roman" w:hAnsi="Arial" w:cs="Arial"/>
          <w:color w:val="333333"/>
          <w:sz w:val="18"/>
          <w:szCs w:val="18"/>
          <w:lang w:eastAsia="pt-BR"/>
        </w:rPr>
        <w:t xml:space="preserve"> </w:t>
      </w:r>
      <w:hyperlink r:id="rId6" w:tgtFrame="_self" w:history="1">
        <w:r w:rsidRPr="000703AC">
          <w:rPr>
            <w:rFonts w:ascii="Arial" w:eastAsia="Times New Roman" w:hAnsi="Arial" w:cs="Arial"/>
            <w:b/>
            <w:bCs/>
            <w:color w:val="00529C"/>
            <w:sz w:val="18"/>
            <w:szCs w:val="18"/>
            <w:u w:val="single"/>
            <w:lang w:eastAsia="pt-BR"/>
          </w:rPr>
          <w:t>BNDES PMAT Automático</w:t>
        </w:r>
      </w:hyperlink>
      <w:r w:rsidRPr="000703AC">
        <w:rPr>
          <w:rFonts w:ascii="Arial" w:eastAsia="Times New Roman" w:hAnsi="Arial" w:cs="Arial"/>
          <w:color w:val="333333"/>
          <w:sz w:val="18"/>
          <w:szCs w:val="18"/>
          <w:lang w:eastAsia="pt-BR"/>
        </w:rPr>
        <w:t>.</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b/>
          <w:bCs/>
          <w:color w:val="333333"/>
          <w:sz w:val="18"/>
          <w:szCs w:val="18"/>
          <w:lang w:eastAsia="pt-BR"/>
        </w:rPr>
        <w:t>Obs.: </w:t>
      </w:r>
      <w:r w:rsidRPr="000703AC">
        <w:rPr>
          <w:rFonts w:ascii="Arial" w:eastAsia="Times New Roman" w:hAnsi="Arial" w:cs="Arial"/>
          <w:color w:val="333333"/>
          <w:sz w:val="18"/>
          <w:szCs w:val="18"/>
          <w:lang w:eastAsia="pt-BR"/>
        </w:rPr>
        <w:t>A critério do BNDES</w:t>
      </w:r>
      <w:proofErr w:type="gramStart"/>
      <w:r w:rsidRPr="000703AC">
        <w:rPr>
          <w:rFonts w:ascii="Arial" w:eastAsia="Times New Roman" w:hAnsi="Arial" w:cs="Arial"/>
          <w:color w:val="333333"/>
          <w:sz w:val="18"/>
          <w:szCs w:val="18"/>
          <w:lang w:eastAsia="pt-BR"/>
        </w:rPr>
        <w:t>, poderão</w:t>
      </w:r>
      <w:proofErr w:type="gramEnd"/>
      <w:r w:rsidRPr="000703AC">
        <w:rPr>
          <w:rFonts w:ascii="Arial" w:eastAsia="Times New Roman" w:hAnsi="Arial" w:cs="Arial"/>
          <w:color w:val="333333"/>
          <w:sz w:val="18"/>
          <w:szCs w:val="18"/>
          <w:lang w:eastAsia="pt-BR"/>
        </w:rPr>
        <w:t xml:space="preserve"> ser financiados projetos apresentados por municípios com  população igual ou inferior a150 mil habitantes que se enquadrem na </w:t>
      </w:r>
      <w:hyperlink r:id="rId7" w:tgtFrame="_self" w:history="1">
        <w:r w:rsidRPr="000703AC">
          <w:rPr>
            <w:rFonts w:ascii="Arial" w:eastAsia="Times New Roman" w:hAnsi="Arial" w:cs="Arial"/>
            <w:b/>
            <w:bCs/>
            <w:color w:val="00529C"/>
            <w:sz w:val="18"/>
            <w:szCs w:val="18"/>
            <w:u w:val="single"/>
            <w:lang w:eastAsia="pt-BR"/>
          </w:rPr>
          <w:t xml:space="preserve">Política de </w:t>
        </w:r>
        <w:r w:rsidRPr="000703AC">
          <w:rPr>
            <w:rFonts w:ascii="Arial" w:eastAsia="Times New Roman" w:hAnsi="Arial" w:cs="Arial"/>
            <w:b/>
            <w:bCs/>
            <w:color w:val="00529C"/>
            <w:sz w:val="18"/>
            <w:szCs w:val="18"/>
            <w:u w:val="single"/>
            <w:lang w:eastAsia="pt-BR"/>
          </w:rPr>
          <w:t>A</w:t>
        </w:r>
        <w:r w:rsidRPr="000703AC">
          <w:rPr>
            <w:rFonts w:ascii="Arial" w:eastAsia="Times New Roman" w:hAnsi="Arial" w:cs="Arial"/>
            <w:b/>
            <w:bCs/>
            <w:color w:val="00529C"/>
            <w:sz w:val="18"/>
            <w:szCs w:val="18"/>
            <w:u w:val="single"/>
            <w:lang w:eastAsia="pt-BR"/>
          </w:rPr>
          <w:t>tuação no Entorno de Projetos</w:t>
        </w:r>
      </w:hyperlink>
      <w:r w:rsidRPr="000703AC">
        <w:rPr>
          <w:rFonts w:ascii="Arial" w:eastAsia="Times New Roman" w:hAnsi="Arial" w:cs="Arial"/>
          <w:color w:val="333333"/>
          <w:sz w:val="18"/>
          <w:szCs w:val="18"/>
          <w:lang w:eastAsia="pt-BR"/>
        </w:rPr>
        <w:t>.</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proofErr w:type="gramStart"/>
      <w:r w:rsidRPr="000703AC">
        <w:rPr>
          <w:rFonts w:ascii="Arial" w:eastAsia="Times New Roman" w:hAnsi="Arial" w:cs="Arial"/>
          <w:b/>
          <w:bCs/>
          <w:color w:val="207136"/>
          <w:sz w:val="24"/>
          <w:szCs w:val="24"/>
          <w:lang w:eastAsia="pt-BR"/>
        </w:rPr>
        <w:t>Empreendimentos apoiáveis</w:t>
      </w:r>
      <w:proofErr w:type="gramEnd"/>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Poderão ser financiados projetos de investimentos (mais detalhes abaixo, em "Itens financiáveis") para o fortalecimento das capacidades gerencial, normativa, operacional e tecnológica da administração municipal, com foco nas seguintes ações:</w:t>
      </w:r>
    </w:p>
    <w:tbl>
      <w:tblPr>
        <w:tblW w:w="4750" w:type="pct"/>
        <w:tblCellSpacing w:w="15" w:type="dxa"/>
        <w:tblCellMar>
          <w:left w:w="0" w:type="dxa"/>
          <w:right w:w="0" w:type="dxa"/>
        </w:tblCellMar>
        <w:tblLook w:val="04A0" w:firstRow="1" w:lastRow="0" w:firstColumn="1" w:lastColumn="0" w:noHBand="0" w:noVBand="1"/>
      </w:tblPr>
      <w:tblGrid>
        <w:gridCol w:w="3872"/>
        <w:gridCol w:w="4406"/>
      </w:tblGrid>
      <w:tr w:rsidR="000703AC" w:rsidRPr="000703AC" w:rsidTr="000703AC">
        <w:trPr>
          <w:tblCellSpacing w:w="15" w:type="dxa"/>
        </w:trPr>
        <w:tc>
          <w:tcPr>
            <w:tcW w:w="0" w:type="auto"/>
            <w:tcBorders>
              <w:top w:val="nil"/>
              <w:left w:val="nil"/>
              <w:bottom w:val="nil"/>
              <w:right w:val="nil"/>
            </w:tcBorders>
            <w:shd w:val="clear" w:color="auto" w:fill="516147"/>
            <w:tcMar>
              <w:top w:w="75" w:type="dxa"/>
              <w:left w:w="75" w:type="dxa"/>
              <w:bottom w:w="75" w:type="dxa"/>
              <w:right w:w="75" w:type="dxa"/>
            </w:tcMar>
            <w:vAlign w:val="center"/>
            <w:hideMark/>
          </w:tcPr>
          <w:p w:rsidR="000703AC" w:rsidRPr="000703AC" w:rsidRDefault="000703AC" w:rsidP="000703AC">
            <w:pPr>
              <w:spacing w:after="0" w:line="312" w:lineRule="atLeast"/>
              <w:jc w:val="center"/>
              <w:rPr>
                <w:rFonts w:ascii="Arial" w:eastAsia="Times New Roman" w:hAnsi="Arial" w:cs="Arial"/>
                <w:b/>
                <w:bCs/>
                <w:color w:val="FFFFFF"/>
                <w:sz w:val="18"/>
                <w:szCs w:val="18"/>
                <w:lang w:eastAsia="pt-BR"/>
              </w:rPr>
            </w:pPr>
            <w:r w:rsidRPr="000703AC">
              <w:rPr>
                <w:rFonts w:ascii="Arial" w:eastAsia="Times New Roman" w:hAnsi="Arial" w:cs="Arial"/>
                <w:b/>
                <w:bCs/>
                <w:color w:val="FFFFFF"/>
                <w:sz w:val="18"/>
                <w:szCs w:val="18"/>
                <w:lang w:eastAsia="pt-BR"/>
              </w:rPr>
              <w:t>Área da administração</w:t>
            </w:r>
          </w:p>
        </w:tc>
        <w:tc>
          <w:tcPr>
            <w:tcW w:w="0" w:type="auto"/>
            <w:tcBorders>
              <w:top w:val="nil"/>
              <w:left w:val="nil"/>
              <w:bottom w:val="nil"/>
              <w:right w:val="nil"/>
            </w:tcBorders>
            <w:shd w:val="clear" w:color="auto" w:fill="516147"/>
            <w:tcMar>
              <w:top w:w="75" w:type="dxa"/>
              <w:left w:w="75" w:type="dxa"/>
              <w:bottom w:w="75" w:type="dxa"/>
              <w:right w:w="75" w:type="dxa"/>
            </w:tcMar>
            <w:vAlign w:val="center"/>
            <w:hideMark/>
          </w:tcPr>
          <w:p w:rsidR="000703AC" w:rsidRPr="000703AC" w:rsidRDefault="000703AC" w:rsidP="000703AC">
            <w:pPr>
              <w:spacing w:after="0" w:line="312" w:lineRule="atLeast"/>
              <w:jc w:val="center"/>
              <w:rPr>
                <w:rFonts w:ascii="Arial" w:eastAsia="Times New Roman" w:hAnsi="Arial" w:cs="Arial"/>
                <w:b/>
                <w:bCs/>
                <w:color w:val="FFFFFF"/>
                <w:sz w:val="18"/>
                <w:szCs w:val="18"/>
                <w:lang w:eastAsia="pt-BR"/>
              </w:rPr>
            </w:pPr>
            <w:r w:rsidRPr="000703AC">
              <w:rPr>
                <w:rFonts w:ascii="Arial" w:eastAsia="Times New Roman" w:hAnsi="Arial" w:cs="Arial"/>
                <w:b/>
                <w:bCs/>
                <w:color w:val="FFFFFF"/>
                <w:sz w:val="18"/>
                <w:szCs w:val="18"/>
                <w:lang w:eastAsia="pt-BR"/>
              </w:rPr>
              <w:t>Ações</w:t>
            </w:r>
          </w:p>
        </w:tc>
      </w:tr>
      <w:tr w:rsidR="002B74CA" w:rsidRPr="000703AC" w:rsidTr="000703AC">
        <w:trPr>
          <w:tblCellSpacing w:w="15" w:type="dxa"/>
        </w:trPr>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FF0000"/>
                <w:sz w:val="18"/>
                <w:szCs w:val="18"/>
                <w:lang w:eastAsia="pt-BR"/>
              </w:rPr>
            </w:pPr>
            <w:r w:rsidRPr="000703AC">
              <w:rPr>
                <w:rFonts w:ascii="Arial" w:eastAsia="Times New Roman" w:hAnsi="Arial" w:cs="Arial"/>
                <w:color w:val="FF0000"/>
                <w:sz w:val="18"/>
                <w:szCs w:val="18"/>
                <w:lang w:eastAsia="pt-BR"/>
              </w:rPr>
              <w:t>Administração Geral</w:t>
            </w:r>
          </w:p>
        </w:tc>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jc w:val="center"/>
              <w:rPr>
                <w:rFonts w:ascii="Arial" w:eastAsia="Times New Roman" w:hAnsi="Arial" w:cs="Arial"/>
                <w:color w:val="FF0000"/>
                <w:sz w:val="18"/>
                <w:szCs w:val="18"/>
                <w:lang w:eastAsia="pt-BR"/>
              </w:rPr>
            </w:pPr>
            <w:r w:rsidRPr="000703AC">
              <w:rPr>
                <w:rFonts w:ascii="Arial" w:eastAsia="Times New Roman" w:hAnsi="Arial" w:cs="Arial"/>
                <w:color w:val="FF0000"/>
                <w:sz w:val="18"/>
                <w:szCs w:val="18"/>
                <w:lang w:eastAsia="pt-BR"/>
              </w:rPr>
              <w:t xml:space="preserve"> Gestão de recursos humanos, licitações e compras, gestão de contratos, protocolo e controle de processos, gestão </w:t>
            </w:r>
            <w:proofErr w:type="gramStart"/>
            <w:r w:rsidRPr="000703AC">
              <w:rPr>
                <w:rFonts w:ascii="Arial" w:eastAsia="Times New Roman" w:hAnsi="Arial" w:cs="Arial"/>
                <w:color w:val="FF0000"/>
                <w:sz w:val="18"/>
                <w:szCs w:val="18"/>
                <w:lang w:eastAsia="pt-BR"/>
              </w:rPr>
              <w:t>energética</w:t>
            </w:r>
            <w:proofErr w:type="gramEnd"/>
          </w:p>
        </w:tc>
      </w:tr>
      <w:tr w:rsidR="002B74CA" w:rsidRPr="000703AC" w:rsidTr="000703AC">
        <w:trPr>
          <w:tblCellSpacing w:w="15" w:type="dxa"/>
        </w:trPr>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FF0000"/>
                <w:sz w:val="18"/>
                <w:szCs w:val="18"/>
                <w:lang w:eastAsia="pt-BR"/>
              </w:rPr>
            </w:pPr>
            <w:r w:rsidRPr="000703AC">
              <w:rPr>
                <w:rFonts w:ascii="Arial" w:eastAsia="Times New Roman" w:hAnsi="Arial" w:cs="Arial"/>
                <w:color w:val="FF0000"/>
                <w:sz w:val="18"/>
                <w:szCs w:val="18"/>
                <w:lang w:eastAsia="pt-BR"/>
              </w:rPr>
              <w:t>Administração Tributária</w:t>
            </w:r>
          </w:p>
        </w:tc>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jc w:val="center"/>
              <w:rPr>
                <w:rFonts w:ascii="Arial" w:eastAsia="Times New Roman" w:hAnsi="Arial" w:cs="Arial"/>
                <w:color w:val="FF0000"/>
                <w:sz w:val="18"/>
                <w:szCs w:val="18"/>
                <w:lang w:eastAsia="pt-BR"/>
              </w:rPr>
            </w:pPr>
            <w:r w:rsidRPr="000703AC">
              <w:rPr>
                <w:rFonts w:ascii="Arial" w:eastAsia="Times New Roman" w:hAnsi="Arial" w:cs="Arial"/>
                <w:color w:val="FF0000"/>
                <w:sz w:val="18"/>
                <w:szCs w:val="18"/>
                <w:lang w:eastAsia="pt-BR"/>
              </w:rPr>
              <w:t xml:space="preserve">Arrecadação, cobranças administrativa e judicial, fiscalização, estudos econômicos e tributários, central de atendimento ao </w:t>
            </w:r>
            <w:proofErr w:type="gramStart"/>
            <w:r w:rsidRPr="000703AC">
              <w:rPr>
                <w:rFonts w:ascii="Arial" w:eastAsia="Times New Roman" w:hAnsi="Arial" w:cs="Arial"/>
                <w:color w:val="FF0000"/>
                <w:sz w:val="18"/>
                <w:szCs w:val="18"/>
                <w:lang w:eastAsia="pt-BR"/>
              </w:rPr>
              <w:t>contribuinte</w:t>
            </w:r>
            <w:proofErr w:type="gramEnd"/>
          </w:p>
        </w:tc>
      </w:tr>
      <w:tr w:rsidR="002B74CA" w:rsidRPr="000703AC" w:rsidTr="000703AC">
        <w:trPr>
          <w:tblCellSpacing w:w="15" w:type="dxa"/>
        </w:trPr>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FF0000"/>
                <w:sz w:val="18"/>
                <w:szCs w:val="18"/>
                <w:lang w:eastAsia="pt-BR"/>
              </w:rPr>
            </w:pPr>
            <w:r w:rsidRPr="000703AC">
              <w:rPr>
                <w:rFonts w:ascii="Arial" w:eastAsia="Times New Roman" w:hAnsi="Arial" w:cs="Arial"/>
                <w:color w:val="FF0000"/>
                <w:sz w:val="18"/>
                <w:szCs w:val="18"/>
                <w:lang w:eastAsia="pt-BR"/>
              </w:rPr>
              <w:t>Administração Financeira e Patrimonial</w:t>
            </w:r>
          </w:p>
        </w:tc>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jc w:val="center"/>
              <w:rPr>
                <w:rFonts w:ascii="Arial" w:eastAsia="Times New Roman" w:hAnsi="Arial" w:cs="Arial"/>
                <w:color w:val="FF0000"/>
                <w:sz w:val="18"/>
                <w:szCs w:val="18"/>
                <w:lang w:eastAsia="pt-BR"/>
              </w:rPr>
            </w:pPr>
            <w:r w:rsidRPr="000703AC">
              <w:rPr>
                <w:rFonts w:ascii="Arial" w:eastAsia="Times New Roman" w:hAnsi="Arial" w:cs="Arial"/>
                <w:color w:val="FF0000"/>
                <w:sz w:val="18"/>
                <w:szCs w:val="18"/>
                <w:lang w:eastAsia="pt-BR"/>
              </w:rPr>
              <w:t xml:space="preserve">Orçamento, execução financeira, contabilidade e dívida pública, auditoria e controle interno, gestão e segurança do </w:t>
            </w:r>
            <w:proofErr w:type="gramStart"/>
            <w:r w:rsidRPr="000703AC">
              <w:rPr>
                <w:rFonts w:ascii="Arial" w:eastAsia="Times New Roman" w:hAnsi="Arial" w:cs="Arial"/>
                <w:color w:val="FF0000"/>
                <w:sz w:val="18"/>
                <w:szCs w:val="18"/>
                <w:lang w:eastAsia="pt-BR"/>
              </w:rPr>
              <w:t>patrimônio</w:t>
            </w:r>
            <w:proofErr w:type="gramEnd"/>
          </w:p>
        </w:tc>
      </w:tr>
      <w:tr w:rsidR="000703AC" w:rsidRPr="000703AC" w:rsidTr="000703AC">
        <w:trPr>
          <w:tblCellSpacing w:w="15" w:type="dxa"/>
        </w:trPr>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000000"/>
                <w:sz w:val="18"/>
                <w:szCs w:val="18"/>
                <w:lang w:eastAsia="pt-BR"/>
              </w:rPr>
            </w:pPr>
            <w:r w:rsidRPr="000703AC">
              <w:rPr>
                <w:rFonts w:ascii="Arial" w:eastAsia="Times New Roman" w:hAnsi="Arial" w:cs="Arial"/>
                <w:color w:val="000000"/>
                <w:sz w:val="18"/>
                <w:szCs w:val="18"/>
                <w:lang w:eastAsia="pt-BR"/>
              </w:rPr>
              <w:t xml:space="preserve">Administração e Gestão das Secretarias, Órgãos e Unidades Municipais prestadoras de serviços à </w:t>
            </w:r>
            <w:proofErr w:type="gramStart"/>
            <w:r w:rsidRPr="000703AC">
              <w:rPr>
                <w:rFonts w:ascii="Arial" w:eastAsia="Times New Roman" w:hAnsi="Arial" w:cs="Arial"/>
                <w:color w:val="000000"/>
                <w:sz w:val="18"/>
                <w:szCs w:val="18"/>
                <w:lang w:eastAsia="pt-BR"/>
              </w:rPr>
              <w:t>coletividade</w:t>
            </w:r>
            <w:proofErr w:type="gramEnd"/>
          </w:p>
        </w:tc>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jc w:val="center"/>
              <w:rPr>
                <w:rFonts w:ascii="Arial" w:eastAsia="Times New Roman" w:hAnsi="Arial" w:cs="Arial"/>
                <w:color w:val="000000"/>
                <w:sz w:val="18"/>
                <w:szCs w:val="18"/>
                <w:lang w:eastAsia="pt-BR"/>
              </w:rPr>
            </w:pPr>
            <w:r w:rsidRPr="000703AC">
              <w:rPr>
                <w:rFonts w:ascii="Arial" w:eastAsia="Times New Roman" w:hAnsi="Arial" w:cs="Arial"/>
                <w:color w:val="000000"/>
                <w:sz w:val="18"/>
                <w:szCs w:val="18"/>
                <w:lang w:eastAsia="pt-BR"/>
              </w:rPr>
              <w:t xml:space="preserve">Organização e gerência, sistemas e tecnologia de </w:t>
            </w:r>
            <w:proofErr w:type="gramStart"/>
            <w:r w:rsidRPr="000703AC">
              <w:rPr>
                <w:rFonts w:ascii="Arial" w:eastAsia="Times New Roman" w:hAnsi="Arial" w:cs="Arial"/>
                <w:color w:val="000000"/>
                <w:sz w:val="18"/>
                <w:szCs w:val="18"/>
                <w:lang w:eastAsia="pt-BR"/>
              </w:rPr>
              <w:t>informação</w:t>
            </w:r>
            <w:proofErr w:type="gramEnd"/>
          </w:p>
        </w:tc>
      </w:tr>
    </w:tbl>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Também poderão ser financiadas, desde que vinculadas a uma das quatro áreas enunciadas, as seguintes ações:</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planejamento</w:t>
      </w:r>
      <w:proofErr w:type="gramEnd"/>
      <w:r w:rsidRPr="000703AC">
        <w:rPr>
          <w:rFonts w:ascii="Arial" w:eastAsia="Times New Roman" w:hAnsi="Arial" w:cs="Arial"/>
          <w:color w:val="333333"/>
          <w:sz w:val="18"/>
          <w:szCs w:val="18"/>
          <w:lang w:eastAsia="pt-BR"/>
        </w:rPr>
        <w:t>, organização e gestão;</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legislação</w:t>
      </w:r>
      <w:proofErr w:type="gramEnd"/>
      <w:r w:rsidRPr="000703AC">
        <w:rPr>
          <w:rFonts w:ascii="Arial" w:eastAsia="Times New Roman" w:hAnsi="Arial" w:cs="Arial"/>
          <w:color w:val="333333"/>
          <w:sz w:val="18"/>
          <w:szCs w:val="18"/>
          <w:lang w:eastAsia="pt-BR"/>
        </w:rPr>
        <w:t>;</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sistemas</w:t>
      </w:r>
      <w:proofErr w:type="gramEnd"/>
      <w:r w:rsidRPr="000703AC">
        <w:rPr>
          <w:rFonts w:ascii="Arial" w:eastAsia="Times New Roman" w:hAnsi="Arial" w:cs="Arial"/>
          <w:color w:val="333333"/>
          <w:sz w:val="18"/>
          <w:szCs w:val="18"/>
          <w:lang w:eastAsia="pt-BR"/>
        </w:rPr>
        <w:t xml:space="preserve"> e tecnologia de informação;</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central</w:t>
      </w:r>
      <w:proofErr w:type="gramEnd"/>
      <w:r w:rsidRPr="000703AC">
        <w:rPr>
          <w:rFonts w:ascii="Arial" w:eastAsia="Times New Roman" w:hAnsi="Arial" w:cs="Arial"/>
          <w:color w:val="333333"/>
          <w:sz w:val="18"/>
          <w:szCs w:val="18"/>
          <w:lang w:eastAsia="pt-BR"/>
        </w:rPr>
        <w:t xml:space="preserve"> de atendimento ao cidadão;</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cadastros</w:t>
      </w:r>
      <w:proofErr w:type="gramEnd"/>
      <w:r w:rsidRPr="000703AC">
        <w:rPr>
          <w:rFonts w:ascii="Arial" w:eastAsia="Times New Roman" w:hAnsi="Arial" w:cs="Arial"/>
          <w:color w:val="333333"/>
          <w:sz w:val="18"/>
          <w:szCs w:val="18"/>
          <w:lang w:eastAsia="pt-BR"/>
        </w:rPr>
        <w:t>;</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spellStart"/>
      <w:proofErr w:type="gramStart"/>
      <w:r w:rsidRPr="000703AC">
        <w:rPr>
          <w:rFonts w:ascii="Arial" w:eastAsia="Times New Roman" w:hAnsi="Arial" w:cs="Arial"/>
          <w:color w:val="333333"/>
          <w:sz w:val="18"/>
          <w:szCs w:val="18"/>
          <w:lang w:eastAsia="pt-BR"/>
        </w:rPr>
        <w:lastRenderedPageBreak/>
        <w:t>georreferenciamento</w:t>
      </w:r>
      <w:proofErr w:type="spellEnd"/>
      <w:proofErr w:type="gramEnd"/>
      <w:r w:rsidRPr="000703AC">
        <w:rPr>
          <w:rFonts w:ascii="Arial" w:eastAsia="Times New Roman" w:hAnsi="Arial" w:cs="Arial"/>
          <w:color w:val="333333"/>
          <w:sz w:val="18"/>
          <w:szCs w:val="18"/>
          <w:lang w:eastAsia="pt-BR"/>
        </w:rPr>
        <w:t>;</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relações</w:t>
      </w:r>
      <w:proofErr w:type="gramEnd"/>
      <w:r w:rsidRPr="000703AC">
        <w:rPr>
          <w:rFonts w:ascii="Arial" w:eastAsia="Times New Roman" w:hAnsi="Arial" w:cs="Arial"/>
          <w:color w:val="333333"/>
          <w:sz w:val="18"/>
          <w:szCs w:val="18"/>
          <w:lang w:eastAsia="pt-BR"/>
        </w:rPr>
        <w:t xml:space="preserve"> </w:t>
      </w:r>
      <w:proofErr w:type="spellStart"/>
      <w:r w:rsidRPr="000703AC">
        <w:rPr>
          <w:rFonts w:ascii="Arial" w:eastAsia="Times New Roman" w:hAnsi="Arial" w:cs="Arial"/>
          <w:color w:val="333333"/>
          <w:sz w:val="18"/>
          <w:szCs w:val="18"/>
          <w:lang w:eastAsia="pt-BR"/>
        </w:rPr>
        <w:t>intra</w:t>
      </w:r>
      <w:proofErr w:type="spellEnd"/>
      <w:r w:rsidRPr="000703AC">
        <w:rPr>
          <w:rFonts w:ascii="Arial" w:eastAsia="Times New Roman" w:hAnsi="Arial" w:cs="Arial"/>
          <w:color w:val="333333"/>
          <w:sz w:val="18"/>
          <w:szCs w:val="18"/>
          <w:lang w:eastAsia="pt-BR"/>
        </w:rPr>
        <w:t xml:space="preserve"> e interinstitucionais; e</w:t>
      </w:r>
    </w:p>
    <w:p w:rsidR="000703AC" w:rsidRPr="000703AC" w:rsidRDefault="000703AC" w:rsidP="000703AC">
      <w:pPr>
        <w:numPr>
          <w:ilvl w:val="0"/>
          <w:numId w:val="1"/>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integração</w:t>
      </w:r>
      <w:proofErr w:type="gramEnd"/>
      <w:r w:rsidRPr="000703AC">
        <w:rPr>
          <w:rFonts w:ascii="Arial" w:eastAsia="Times New Roman" w:hAnsi="Arial" w:cs="Arial"/>
          <w:color w:val="333333"/>
          <w:sz w:val="18"/>
          <w:szCs w:val="18"/>
          <w:lang w:eastAsia="pt-BR"/>
        </w:rPr>
        <w:t xml:space="preserve"> de informações municipais, tanto na esfera </w:t>
      </w:r>
      <w:proofErr w:type="spellStart"/>
      <w:r w:rsidRPr="000703AC">
        <w:rPr>
          <w:rFonts w:ascii="Arial" w:eastAsia="Times New Roman" w:hAnsi="Arial" w:cs="Arial"/>
          <w:color w:val="333333"/>
          <w:sz w:val="18"/>
          <w:szCs w:val="18"/>
          <w:lang w:eastAsia="pt-BR"/>
        </w:rPr>
        <w:t>intramunicipal</w:t>
      </w:r>
      <w:proofErr w:type="spellEnd"/>
      <w:r w:rsidRPr="000703AC">
        <w:rPr>
          <w:rFonts w:ascii="Arial" w:eastAsia="Times New Roman" w:hAnsi="Arial" w:cs="Arial"/>
          <w:color w:val="333333"/>
          <w:sz w:val="18"/>
          <w:szCs w:val="18"/>
          <w:lang w:eastAsia="pt-BR"/>
        </w:rPr>
        <w:t xml:space="preserve"> quanto no intercâmbio de informações com os órgãos federais e estaduais.</w:t>
      </w:r>
      <w:r w:rsidRPr="000703AC">
        <w:rPr>
          <w:rFonts w:ascii="Arial" w:eastAsia="Times New Roman" w:hAnsi="Arial" w:cs="Arial"/>
          <w:color w:val="333333"/>
          <w:sz w:val="18"/>
          <w:szCs w:val="18"/>
          <w:lang w:eastAsia="pt-BR"/>
        </w:rPr>
        <w:br/>
        <w:t> </w:t>
      </w:r>
    </w:p>
    <w:p w:rsidR="000703AC" w:rsidRPr="000703AC" w:rsidRDefault="000703AC" w:rsidP="00FE7066">
      <w:pPr>
        <w:spacing w:before="1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Itens financiáveis</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 xml:space="preserve">Podem ser financiados os itens a seguir, não isoladamente, e desde que associados aos empreendimentos </w:t>
      </w:r>
      <w:proofErr w:type="gramStart"/>
      <w:r w:rsidRPr="000703AC">
        <w:rPr>
          <w:rFonts w:ascii="Arial" w:eastAsia="Times New Roman" w:hAnsi="Arial" w:cs="Arial"/>
          <w:color w:val="333333"/>
          <w:sz w:val="18"/>
          <w:szCs w:val="18"/>
          <w:lang w:eastAsia="pt-BR"/>
        </w:rPr>
        <w:t>apoiáveis</w:t>
      </w:r>
      <w:proofErr w:type="gramEnd"/>
      <w:r w:rsidRPr="000703AC">
        <w:rPr>
          <w:rFonts w:ascii="Arial" w:eastAsia="Times New Roman" w:hAnsi="Arial" w:cs="Arial"/>
          <w:color w:val="333333"/>
          <w:sz w:val="18"/>
          <w:szCs w:val="18"/>
          <w:lang w:eastAsia="pt-BR"/>
        </w:rPr>
        <w:t xml:space="preserve"> estabelecidos na seção anterior:</w:t>
      </w:r>
    </w:p>
    <w:p w:rsidR="000703AC" w:rsidRPr="000703AC" w:rsidRDefault="000703AC" w:rsidP="000703AC">
      <w:pPr>
        <w:numPr>
          <w:ilvl w:val="0"/>
          <w:numId w:val="2"/>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obras</w:t>
      </w:r>
      <w:proofErr w:type="gramEnd"/>
      <w:r w:rsidRPr="000703AC">
        <w:rPr>
          <w:rFonts w:ascii="Arial" w:eastAsia="Times New Roman" w:hAnsi="Arial" w:cs="Arial"/>
          <w:color w:val="333333"/>
          <w:sz w:val="18"/>
          <w:szCs w:val="18"/>
          <w:lang w:eastAsia="pt-BR"/>
        </w:rPr>
        <w:t xml:space="preserve"> civis, montagem e instalações;</w:t>
      </w:r>
    </w:p>
    <w:p w:rsidR="000703AC" w:rsidRPr="000703AC" w:rsidRDefault="000703AC" w:rsidP="000703AC">
      <w:pPr>
        <w:numPr>
          <w:ilvl w:val="0"/>
          <w:numId w:val="2"/>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máquinas</w:t>
      </w:r>
      <w:proofErr w:type="gramEnd"/>
      <w:r w:rsidRPr="000703AC">
        <w:rPr>
          <w:rFonts w:ascii="Arial" w:eastAsia="Times New Roman" w:hAnsi="Arial" w:cs="Arial"/>
          <w:color w:val="333333"/>
          <w:sz w:val="18"/>
          <w:szCs w:val="18"/>
          <w:lang w:eastAsia="pt-BR"/>
        </w:rPr>
        <w:t xml:space="preserve"> e equipamentos novos, incluídos os conjuntos e sistemas industriais, produzidos no País e constantes do </w:t>
      </w:r>
      <w:hyperlink r:id="rId8" w:anchor="credenciamento" w:history="1">
        <w:r w:rsidRPr="000703AC">
          <w:rPr>
            <w:rFonts w:ascii="Arial" w:eastAsia="Times New Roman" w:hAnsi="Arial" w:cs="Arial"/>
            <w:b/>
            <w:bCs/>
            <w:color w:val="00529C"/>
            <w:sz w:val="18"/>
            <w:szCs w:val="18"/>
            <w:u w:val="single"/>
            <w:lang w:eastAsia="pt-BR"/>
          </w:rPr>
          <w:t>Credenciamento de Fabricantes Informatizado – CFI do BNDES</w:t>
        </w:r>
      </w:hyperlink>
      <w:r w:rsidRPr="000703AC">
        <w:rPr>
          <w:rFonts w:ascii="Arial" w:eastAsia="Times New Roman" w:hAnsi="Arial" w:cs="Arial"/>
          <w:color w:val="333333"/>
          <w:sz w:val="18"/>
          <w:szCs w:val="18"/>
          <w:lang w:eastAsia="pt-BR"/>
        </w:rPr>
        <w:t>, incluídos:</w:t>
      </w:r>
      <w:r w:rsidRPr="000703AC">
        <w:rPr>
          <w:rFonts w:ascii="Arial" w:eastAsia="Times New Roman" w:hAnsi="Arial" w:cs="Arial"/>
          <w:color w:val="333333"/>
          <w:sz w:val="18"/>
          <w:szCs w:val="18"/>
          <w:lang w:eastAsia="pt-BR"/>
        </w:rPr>
        <w:br/>
      </w:r>
    </w:p>
    <w:p w:rsidR="000703AC" w:rsidRPr="000703AC" w:rsidRDefault="000703AC" w:rsidP="000703AC">
      <w:pPr>
        <w:numPr>
          <w:ilvl w:val="1"/>
          <w:numId w:val="2"/>
        </w:numPr>
        <w:spacing w:before="75" w:after="75" w:line="240" w:lineRule="auto"/>
        <w:ind w:left="750" w:right="150"/>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equipamentos</w:t>
      </w:r>
      <w:proofErr w:type="gramEnd"/>
      <w:r w:rsidRPr="000703AC">
        <w:rPr>
          <w:rFonts w:ascii="Arial" w:eastAsia="Times New Roman" w:hAnsi="Arial" w:cs="Arial"/>
          <w:color w:val="333333"/>
          <w:sz w:val="18"/>
          <w:szCs w:val="18"/>
          <w:lang w:eastAsia="pt-BR"/>
        </w:rPr>
        <w:t xml:space="preserve"> de informática: microcomputadores, estabilizadores, nobreaks, impressoras, roteadores, scanners, hubs, </w:t>
      </w:r>
      <w:proofErr w:type="spellStart"/>
      <w:r w:rsidRPr="000703AC">
        <w:rPr>
          <w:rFonts w:ascii="Arial" w:eastAsia="Times New Roman" w:hAnsi="Arial" w:cs="Arial"/>
          <w:color w:val="333333"/>
          <w:sz w:val="18"/>
          <w:szCs w:val="18"/>
          <w:lang w:eastAsia="pt-BR"/>
        </w:rPr>
        <w:t>switchs</w:t>
      </w:r>
      <w:proofErr w:type="spellEnd"/>
      <w:r w:rsidRPr="000703AC">
        <w:rPr>
          <w:rFonts w:ascii="Arial" w:eastAsia="Times New Roman" w:hAnsi="Arial" w:cs="Arial"/>
          <w:color w:val="333333"/>
          <w:sz w:val="18"/>
          <w:szCs w:val="18"/>
          <w:lang w:eastAsia="pt-BR"/>
        </w:rPr>
        <w:t xml:space="preserve">, </w:t>
      </w:r>
      <w:proofErr w:type="spellStart"/>
      <w:r w:rsidRPr="000703AC">
        <w:rPr>
          <w:rFonts w:ascii="Arial" w:eastAsia="Times New Roman" w:hAnsi="Arial" w:cs="Arial"/>
          <w:color w:val="333333"/>
          <w:sz w:val="18"/>
          <w:szCs w:val="18"/>
          <w:lang w:eastAsia="pt-BR"/>
        </w:rPr>
        <w:t>thin</w:t>
      </w:r>
      <w:proofErr w:type="spellEnd"/>
      <w:r w:rsidRPr="000703AC">
        <w:rPr>
          <w:rFonts w:ascii="Arial" w:eastAsia="Times New Roman" w:hAnsi="Arial" w:cs="Arial"/>
          <w:color w:val="333333"/>
          <w:sz w:val="18"/>
          <w:szCs w:val="18"/>
          <w:lang w:eastAsia="pt-BR"/>
        </w:rPr>
        <w:t xml:space="preserve"> </w:t>
      </w:r>
      <w:proofErr w:type="spellStart"/>
      <w:r w:rsidRPr="000703AC">
        <w:rPr>
          <w:rFonts w:ascii="Arial" w:eastAsia="Times New Roman" w:hAnsi="Arial" w:cs="Arial"/>
          <w:color w:val="333333"/>
          <w:sz w:val="18"/>
          <w:szCs w:val="18"/>
          <w:lang w:eastAsia="pt-BR"/>
        </w:rPr>
        <w:t>clients</w:t>
      </w:r>
      <w:proofErr w:type="spellEnd"/>
      <w:r w:rsidRPr="000703AC">
        <w:rPr>
          <w:rFonts w:ascii="Arial" w:eastAsia="Times New Roman" w:hAnsi="Arial" w:cs="Arial"/>
          <w:color w:val="333333"/>
          <w:sz w:val="18"/>
          <w:szCs w:val="18"/>
          <w:lang w:eastAsia="pt-BR"/>
        </w:rPr>
        <w:t>, projetor multimídia, servidores, notebooks, antenas de rádio transmissão, estações rádio base;</w:t>
      </w:r>
    </w:p>
    <w:p w:rsidR="000703AC" w:rsidRPr="000703AC" w:rsidRDefault="000703AC" w:rsidP="000703AC">
      <w:pPr>
        <w:numPr>
          <w:ilvl w:val="1"/>
          <w:numId w:val="2"/>
        </w:numPr>
        <w:spacing w:before="75" w:after="75" w:line="240" w:lineRule="auto"/>
        <w:ind w:left="750" w:right="150"/>
        <w:textAlignment w:val="center"/>
        <w:rPr>
          <w:rFonts w:ascii="Arial" w:eastAsia="Times New Roman" w:hAnsi="Arial" w:cs="Arial"/>
          <w:color w:val="FF0000"/>
          <w:sz w:val="18"/>
          <w:szCs w:val="18"/>
          <w:lang w:eastAsia="pt-BR"/>
        </w:rPr>
      </w:pPr>
      <w:proofErr w:type="gramStart"/>
      <w:r w:rsidRPr="000703AC">
        <w:rPr>
          <w:rFonts w:ascii="Arial" w:eastAsia="Times New Roman" w:hAnsi="Arial" w:cs="Arial"/>
          <w:color w:val="FF0000"/>
          <w:sz w:val="18"/>
          <w:szCs w:val="18"/>
          <w:lang w:eastAsia="pt-BR"/>
        </w:rPr>
        <w:t>equipamentos</w:t>
      </w:r>
      <w:proofErr w:type="gramEnd"/>
      <w:r w:rsidRPr="000703AC">
        <w:rPr>
          <w:rFonts w:ascii="Arial" w:eastAsia="Times New Roman" w:hAnsi="Arial" w:cs="Arial"/>
          <w:color w:val="FF0000"/>
          <w:sz w:val="18"/>
          <w:szCs w:val="18"/>
          <w:lang w:eastAsia="pt-BR"/>
        </w:rPr>
        <w:t xml:space="preserve"> de apoio à operação e à fiscalização: </w:t>
      </w:r>
      <w:proofErr w:type="spellStart"/>
      <w:r w:rsidRPr="000703AC">
        <w:rPr>
          <w:rFonts w:ascii="Arial" w:eastAsia="Times New Roman" w:hAnsi="Arial" w:cs="Arial"/>
          <w:color w:val="FF0000"/>
          <w:sz w:val="18"/>
          <w:szCs w:val="18"/>
          <w:lang w:eastAsia="pt-BR"/>
        </w:rPr>
        <w:t>rádio-comunicadores</w:t>
      </w:r>
      <w:proofErr w:type="spellEnd"/>
      <w:r w:rsidRPr="000703AC">
        <w:rPr>
          <w:rFonts w:ascii="Arial" w:eastAsia="Times New Roman" w:hAnsi="Arial" w:cs="Arial"/>
          <w:color w:val="FF0000"/>
          <w:sz w:val="18"/>
          <w:szCs w:val="18"/>
          <w:lang w:eastAsia="pt-BR"/>
        </w:rPr>
        <w:t>, leitoras de cartão, totens de atendimento; </w:t>
      </w:r>
    </w:p>
    <w:p w:rsidR="000703AC" w:rsidRPr="000703AC" w:rsidRDefault="000703AC" w:rsidP="000703AC">
      <w:pPr>
        <w:numPr>
          <w:ilvl w:val="1"/>
          <w:numId w:val="2"/>
        </w:numPr>
        <w:spacing w:before="75" w:after="75" w:line="240" w:lineRule="auto"/>
        <w:ind w:left="750" w:right="150"/>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bens</w:t>
      </w:r>
      <w:proofErr w:type="gramEnd"/>
      <w:r w:rsidRPr="000703AC">
        <w:rPr>
          <w:rFonts w:ascii="Arial" w:eastAsia="Times New Roman" w:hAnsi="Arial" w:cs="Arial"/>
          <w:color w:val="333333"/>
          <w:sz w:val="18"/>
          <w:szCs w:val="18"/>
          <w:lang w:eastAsia="pt-BR"/>
        </w:rPr>
        <w:t xml:space="preserve"> de informática e automação, abarcados pela </w:t>
      </w:r>
      <w:hyperlink r:id="rId9" w:tgtFrame="_blank" w:history="1">
        <w:r w:rsidRPr="000703AC">
          <w:rPr>
            <w:rFonts w:ascii="Arial" w:eastAsia="Times New Roman" w:hAnsi="Arial" w:cs="Arial"/>
            <w:b/>
            <w:bCs/>
            <w:color w:val="00529C"/>
            <w:sz w:val="18"/>
            <w:szCs w:val="18"/>
            <w:u w:val="single"/>
            <w:lang w:eastAsia="pt-BR"/>
          </w:rPr>
          <w:t>Lei nº 8.248 (Lei de Informática), de 23.10.1991</w:t>
        </w:r>
      </w:hyperlink>
      <w:r w:rsidRPr="000703AC">
        <w:rPr>
          <w:rFonts w:ascii="Arial" w:eastAsia="Times New Roman" w:hAnsi="Arial" w:cs="Arial"/>
          <w:color w:val="333333"/>
          <w:sz w:val="18"/>
          <w:szCs w:val="18"/>
          <w:lang w:eastAsia="pt-BR"/>
        </w:rPr>
        <w:t>, que cumpram o Processo Produtivo Básico (PPB) e possuam tecnologia nacional na forma da </w:t>
      </w:r>
      <w:hyperlink r:id="rId10" w:tgtFrame="_blank" w:history="1">
        <w:r w:rsidRPr="000703AC">
          <w:rPr>
            <w:rFonts w:ascii="Arial" w:eastAsia="Times New Roman" w:hAnsi="Arial" w:cs="Arial"/>
            <w:b/>
            <w:bCs/>
            <w:color w:val="00529C"/>
            <w:sz w:val="18"/>
            <w:szCs w:val="18"/>
            <w:u w:val="single"/>
            <w:lang w:eastAsia="pt-BR"/>
          </w:rPr>
          <w:t>Portaria MCT nº 950, de 12.12.2006</w:t>
        </w:r>
      </w:hyperlink>
      <w:r w:rsidRPr="000703AC">
        <w:rPr>
          <w:rFonts w:ascii="Arial" w:eastAsia="Times New Roman" w:hAnsi="Arial" w:cs="Arial"/>
          <w:color w:val="333333"/>
          <w:sz w:val="18"/>
          <w:szCs w:val="18"/>
          <w:lang w:eastAsia="pt-BR"/>
        </w:rPr>
        <w:t>, ou da que venha a substituí-la;</w:t>
      </w:r>
    </w:p>
    <w:p w:rsidR="000703AC" w:rsidRPr="000703AC" w:rsidRDefault="000703AC" w:rsidP="000703AC">
      <w:pPr>
        <w:numPr>
          <w:ilvl w:val="0"/>
          <w:numId w:val="2"/>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móveis</w:t>
      </w:r>
      <w:proofErr w:type="gramEnd"/>
      <w:r w:rsidRPr="000703AC">
        <w:rPr>
          <w:rFonts w:ascii="Arial" w:eastAsia="Times New Roman" w:hAnsi="Arial" w:cs="Arial"/>
          <w:color w:val="333333"/>
          <w:sz w:val="18"/>
          <w:szCs w:val="18"/>
          <w:lang w:eastAsia="pt-BR"/>
        </w:rPr>
        <w:t xml:space="preserve"> e utensílios;</w:t>
      </w:r>
    </w:p>
    <w:p w:rsidR="000703AC" w:rsidRPr="000703AC" w:rsidRDefault="000703AC" w:rsidP="000703AC">
      <w:pPr>
        <w:numPr>
          <w:ilvl w:val="0"/>
          <w:numId w:val="2"/>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softwares</w:t>
      </w:r>
      <w:proofErr w:type="gramEnd"/>
      <w:r w:rsidRPr="000703AC">
        <w:rPr>
          <w:rFonts w:ascii="Arial" w:eastAsia="Times New Roman" w:hAnsi="Arial" w:cs="Arial"/>
          <w:color w:val="333333"/>
          <w:sz w:val="18"/>
          <w:szCs w:val="18"/>
          <w:lang w:eastAsia="pt-BR"/>
        </w:rPr>
        <w:t xml:space="preserve"> nacionais, passíveis de apoio no âmbito do programa </w:t>
      </w:r>
      <w:hyperlink r:id="rId11" w:tgtFrame="_self" w:history="1">
        <w:r w:rsidRPr="000703AC">
          <w:rPr>
            <w:rFonts w:ascii="Arial" w:eastAsia="Times New Roman" w:hAnsi="Arial" w:cs="Arial"/>
            <w:b/>
            <w:bCs/>
            <w:color w:val="00529C"/>
            <w:sz w:val="18"/>
            <w:szCs w:val="18"/>
            <w:u w:val="single"/>
            <w:lang w:eastAsia="pt-BR"/>
          </w:rPr>
          <w:t>BNDES Prosoft – Comercialização</w:t>
        </w:r>
      </w:hyperlink>
      <w:r w:rsidRPr="000703AC">
        <w:rPr>
          <w:rFonts w:ascii="Arial" w:eastAsia="Times New Roman" w:hAnsi="Arial" w:cs="Arial"/>
          <w:color w:val="333333"/>
          <w:sz w:val="18"/>
          <w:szCs w:val="18"/>
          <w:lang w:eastAsia="pt-BR"/>
        </w:rPr>
        <w:t>, incluindo customização;</w:t>
      </w:r>
    </w:p>
    <w:p w:rsidR="000703AC" w:rsidRPr="000703AC" w:rsidRDefault="000703AC" w:rsidP="000703AC">
      <w:pPr>
        <w:numPr>
          <w:ilvl w:val="0"/>
          <w:numId w:val="2"/>
        </w:numPr>
        <w:spacing w:after="0" w:line="240" w:lineRule="auto"/>
        <w:ind w:left="375" w:right="75"/>
        <w:textAlignment w:val="center"/>
        <w:rPr>
          <w:rFonts w:ascii="Arial" w:eastAsia="Times New Roman" w:hAnsi="Arial" w:cs="Arial"/>
          <w:color w:val="FF0000"/>
          <w:sz w:val="18"/>
          <w:szCs w:val="18"/>
          <w:lang w:eastAsia="pt-BR"/>
        </w:rPr>
      </w:pPr>
      <w:proofErr w:type="gramStart"/>
      <w:r w:rsidRPr="000703AC">
        <w:rPr>
          <w:rFonts w:ascii="Arial" w:eastAsia="Times New Roman" w:hAnsi="Arial" w:cs="Arial"/>
          <w:color w:val="FF0000"/>
          <w:sz w:val="18"/>
          <w:szCs w:val="18"/>
          <w:lang w:eastAsia="pt-BR"/>
        </w:rPr>
        <w:t>motocicletas</w:t>
      </w:r>
      <w:proofErr w:type="gramEnd"/>
      <w:r w:rsidRPr="000703AC">
        <w:rPr>
          <w:rFonts w:ascii="Arial" w:eastAsia="Times New Roman" w:hAnsi="Arial" w:cs="Arial"/>
          <w:color w:val="FF0000"/>
          <w:sz w:val="18"/>
          <w:szCs w:val="18"/>
          <w:lang w:eastAsia="pt-BR"/>
        </w:rPr>
        <w:t xml:space="preserve"> de até 300 cilindradas e automóveis de passeio com motorização de até 1.0, desde que exclusivamente voltados para atividades de fiscalização da área de administração tributária, em quantidade total limitada a 25% do número de servidores públicos efetivos que, comprovadamente, exerçam a funç</w:t>
      </w:r>
      <w:r w:rsidRPr="000703AC">
        <w:rPr>
          <w:rFonts w:ascii="Arial" w:eastAsia="Times New Roman" w:hAnsi="Arial" w:cs="Arial"/>
          <w:color w:val="FF0000"/>
          <w:sz w:val="18"/>
          <w:szCs w:val="18"/>
          <w:bdr w:val="none" w:sz="0" w:space="0" w:color="auto" w:frame="1"/>
          <w:lang w:eastAsia="pt-BR"/>
        </w:rPr>
        <w:t>ão de fiscal  e com valor total limitado a 10% do valor total do financiamento nas operações indiretas;</w:t>
      </w:r>
    </w:p>
    <w:p w:rsidR="000703AC" w:rsidRPr="000703AC" w:rsidRDefault="000703AC" w:rsidP="000703AC">
      <w:pPr>
        <w:numPr>
          <w:ilvl w:val="0"/>
          <w:numId w:val="2"/>
        </w:numPr>
        <w:spacing w:after="0"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000000"/>
          <w:sz w:val="18"/>
          <w:szCs w:val="18"/>
          <w:bdr w:val="none" w:sz="0" w:space="0" w:color="auto" w:frame="1"/>
          <w:lang w:eastAsia="pt-BR"/>
        </w:rPr>
        <w:t>investimentos</w:t>
      </w:r>
      <w:proofErr w:type="gramEnd"/>
      <w:r w:rsidRPr="000703AC">
        <w:rPr>
          <w:rFonts w:ascii="Arial" w:eastAsia="Times New Roman" w:hAnsi="Arial" w:cs="Arial"/>
          <w:color w:val="000000"/>
          <w:sz w:val="18"/>
          <w:szCs w:val="18"/>
          <w:bdr w:val="none" w:sz="0" w:space="0" w:color="auto" w:frame="1"/>
          <w:lang w:eastAsia="pt-BR"/>
        </w:rPr>
        <w:t xml:space="preserve"> em capacitação técnica e gerencial de servidores públicos efetivos do município, com valor limitado a 25% do valor total do financiamento nas operações indiretas;</w:t>
      </w:r>
    </w:p>
    <w:p w:rsidR="000703AC" w:rsidRPr="000703AC" w:rsidRDefault="000703AC" w:rsidP="000703AC">
      <w:pPr>
        <w:numPr>
          <w:ilvl w:val="0"/>
          <w:numId w:val="2"/>
        </w:numPr>
        <w:spacing w:after="0"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000000"/>
          <w:sz w:val="18"/>
          <w:szCs w:val="18"/>
          <w:bdr w:val="none" w:sz="0" w:space="0" w:color="auto" w:frame="1"/>
          <w:lang w:eastAsia="pt-BR"/>
        </w:rPr>
        <w:t>serviços</w:t>
      </w:r>
      <w:proofErr w:type="gramEnd"/>
      <w:r w:rsidRPr="000703AC">
        <w:rPr>
          <w:rFonts w:ascii="Arial" w:eastAsia="Times New Roman" w:hAnsi="Arial" w:cs="Arial"/>
          <w:color w:val="000000"/>
          <w:sz w:val="18"/>
          <w:szCs w:val="18"/>
          <w:bdr w:val="none" w:sz="0" w:space="0" w:color="auto" w:frame="1"/>
          <w:lang w:eastAsia="pt-BR"/>
        </w:rPr>
        <w:t xml:space="preserve"> voltados para Qualidade e Produtividade, Pesquisa e Desenvolvimento, estudos e projetos de engenharia relacionados ao investimento, com valor limitado a 20% do valor total do financiamento nas operações indiretas;</w:t>
      </w:r>
    </w:p>
    <w:p w:rsidR="000703AC" w:rsidRPr="000703AC" w:rsidRDefault="000703AC" w:rsidP="000703AC">
      <w:pPr>
        <w:numPr>
          <w:ilvl w:val="0"/>
          <w:numId w:val="2"/>
        </w:numPr>
        <w:spacing w:after="0"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000000"/>
          <w:sz w:val="18"/>
          <w:szCs w:val="18"/>
          <w:bdr w:val="none" w:sz="0" w:space="0" w:color="auto" w:frame="1"/>
          <w:lang w:eastAsia="pt-BR"/>
        </w:rPr>
        <w:t>serviços</w:t>
      </w:r>
      <w:proofErr w:type="gramEnd"/>
      <w:r w:rsidRPr="000703AC">
        <w:rPr>
          <w:rFonts w:ascii="Arial" w:eastAsia="Times New Roman" w:hAnsi="Arial" w:cs="Arial"/>
          <w:color w:val="000000"/>
          <w:sz w:val="18"/>
          <w:szCs w:val="18"/>
          <w:bdr w:val="none" w:sz="0" w:space="0" w:color="auto" w:frame="1"/>
          <w:lang w:eastAsia="pt-BR"/>
        </w:rPr>
        <w:t xml:space="preserve"> de atualização e modernização de cadastros e Tecnologia da Informação, com valor limitado a 35% do valor total do financiamento nas operações indiretas.</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Itens não financiáveis</w:t>
      </w:r>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Obras civis, montagem, instalações e reaparelhamento de unidades municipais prestadoras de serviços à coletividade, como: escolas, postos de saúde e de assistência;</w:t>
      </w:r>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Obras de infraestrutura não voltadas para o alcance do objetivo desta linha de financiamento;</w:t>
      </w:r>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Programas de desligamento de servidores;</w:t>
      </w:r>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Aquisição ou arrendamento de bens imóveis e benfeitorias;</w:t>
      </w:r>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Aquisição de máquinas e equipamentos usados;</w:t>
      </w:r>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 xml:space="preserve">Despesas com manutenção de atividades e de custeio da Administração Municipal, inclusive com pessoal ativo e inativo; </w:t>
      </w:r>
      <w:proofErr w:type="gramStart"/>
      <w:r w:rsidRPr="000703AC">
        <w:rPr>
          <w:rFonts w:ascii="Arial" w:eastAsia="Times New Roman" w:hAnsi="Arial" w:cs="Arial"/>
          <w:color w:val="333333"/>
          <w:sz w:val="18"/>
          <w:szCs w:val="18"/>
          <w:lang w:eastAsia="pt-BR"/>
        </w:rPr>
        <w:t>e</w:t>
      </w:r>
      <w:proofErr w:type="gramEnd"/>
    </w:p>
    <w:p w:rsidR="000703AC" w:rsidRPr="000703AC" w:rsidRDefault="000703AC" w:rsidP="000703AC">
      <w:pPr>
        <w:numPr>
          <w:ilvl w:val="0"/>
          <w:numId w:val="3"/>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Gastos com pavimentação e iluminação pública.</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Valor mínimo de financiamento</w:t>
      </w:r>
    </w:p>
    <w:p w:rsidR="000703AC" w:rsidRPr="000703AC" w:rsidRDefault="000703AC" w:rsidP="000703AC">
      <w:pPr>
        <w:numPr>
          <w:ilvl w:val="0"/>
          <w:numId w:val="4"/>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Para apoio direto: R$ 10 milhões.</w:t>
      </w:r>
    </w:p>
    <w:p w:rsidR="000703AC" w:rsidRPr="000703AC" w:rsidRDefault="000703AC" w:rsidP="000703AC">
      <w:pPr>
        <w:numPr>
          <w:ilvl w:val="0"/>
          <w:numId w:val="4"/>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Para apoio indireto (por meio de instituição financeira credenciada): R$ 1 milhão.</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lastRenderedPageBreak/>
        <w:t>Condições financeiras</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A linha de financiamento BNDES PMAT se baseia nas diretrizes do produto </w:t>
      </w:r>
      <w:hyperlink r:id="rId12" w:history="1">
        <w:r w:rsidRPr="000703AC">
          <w:rPr>
            <w:rFonts w:ascii="Arial" w:eastAsia="Times New Roman" w:hAnsi="Arial" w:cs="Arial"/>
            <w:b/>
            <w:bCs/>
            <w:color w:val="00529C"/>
            <w:sz w:val="18"/>
            <w:szCs w:val="18"/>
            <w:u w:val="single"/>
            <w:lang w:eastAsia="pt-BR"/>
          </w:rPr>
          <w:t>BNDES Finem</w:t>
        </w:r>
      </w:hyperlink>
      <w:r w:rsidRPr="000703AC">
        <w:rPr>
          <w:rFonts w:ascii="Arial" w:eastAsia="Times New Roman" w:hAnsi="Arial" w:cs="Arial"/>
          <w:color w:val="333333"/>
          <w:sz w:val="18"/>
          <w:szCs w:val="18"/>
          <w:lang w:eastAsia="pt-BR"/>
        </w:rPr>
        <w:t>, com algumas condições específicas, descritas abaixo.</w:t>
      </w:r>
    </w:p>
    <w:p w:rsidR="000703AC" w:rsidRPr="000703AC" w:rsidRDefault="000703AC" w:rsidP="00FE7066">
      <w:pPr>
        <w:spacing w:before="240" w:after="300" w:line="240" w:lineRule="auto"/>
        <w:textAlignment w:val="center"/>
        <w:outlineLvl w:val="3"/>
        <w:rPr>
          <w:rFonts w:ascii="Arial" w:eastAsia="Times New Roman" w:hAnsi="Arial" w:cs="Arial"/>
          <w:b/>
          <w:bCs/>
          <w:color w:val="207136"/>
          <w:sz w:val="20"/>
          <w:szCs w:val="20"/>
          <w:lang w:eastAsia="pt-BR"/>
        </w:rPr>
      </w:pPr>
      <w:r w:rsidRPr="000703AC">
        <w:rPr>
          <w:rFonts w:ascii="Arial" w:eastAsia="Times New Roman" w:hAnsi="Arial" w:cs="Arial"/>
          <w:b/>
          <w:bCs/>
          <w:color w:val="207136"/>
          <w:sz w:val="20"/>
          <w:szCs w:val="20"/>
          <w:lang w:eastAsia="pt-BR"/>
        </w:rPr>
        <w:t>Taxa de juros</w:t>
      </w:r>
    </w:p>
    <w:tbl>
      <w:tblPr>
        <w:tblW w:w="4750" w:type="pct"/>
        <w:tblCellSpacing w:w="15" w:type="dxa"/>
        <w:tblCellMar>
          <w:left w:w="0" w:type="dxa"/>
          <w:right w:w="0" w:type="dxa"/>
        </w:tblCellMar>
        <w:tblLook w:val="04A0" w:firstRow="1" w:lastRow="0" w:firstColumn="1" w:lastColumn="0" w:noHBand="0" w:noVBand="1"/>
      </w:tblPr>
      <w:tblGrid>
        <w:gridCol w:w="5095"/>
        <w:gridCol w:w="3183"/>
      </w:tblGrid>
      <w:tr w:rsidR="000703AC" w:rsidRPr="000703AC" w:rsidTr="000703AC">
        <w:trPr>
          <w:tblCellSpacing w:w="15" w:type="dxa"/>
        </w:trPr>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000000"/>
                <w:sz w:val="18"/>
                <w:szCs w:val="18"/>
                <w:lang w:eastAsia="pt-BR"/>
              </w:rPr>
            </w:pPr>
            <w:r w:rsidRPr="000703AC">
              <w:rPr>
                <w:rFonts w:ascii="Arial" w:eastAsia="Times New Roman" w:hAnsi="Arial" w:cs="Arial"/>
                <w:b/>
                <w:bCs/>
                <w:color w:val="000000"/>
                <w:sz w:val="18"/>
                <w:szCs w:val="18"/>
                <w:bdr w:val="none" w:sz="0" w:space="0" w:color="auto" w:frame="1"/>
                <w:lang w:eastAsia="pt-BR"/>
              </w:rPr>
              <w:t>Apoio direto</w:t>
            </w:r>
            <w:r w:rsidRPr="000703AC">
              <w:rPr>
                <w:rFonts w:ascii="Arial" w:eastAsia="Times New Roman" w:hAnsi="Arial" w:cs="Arial"/>
                <w:b/>
                <w:bCs/>
                <w:color w:val="000000"/>
                <w:sz w:val="18"/>
                <w:szCs w:val="18"/>
                <w:bdr w:val="none" w:sz="0" w:space="0" w:color="auto" w:frame="1"/>
                <w:lang w:eastAsia="pt-BR"/>
              </w:rPr>
              <w:br/>
            </w:r>
            <w:proofErr w:type="gramStart"/>
            <w:r w:rsidRPr="000703AC">
              <w:rPr>
                <w:rFonts w:ascii="Arial" w:eastAsia="Times New Roman" w:hAnsi="Arial" w:cs="Arial"/>
                <w:i/>
                <w:iCs/>
                <w:color w:val="000000"/>
                <w:sz w:val="18"/>
                <w:szCs w:val="18"/>
                <w:bdr w:val="none" w:sz="0" w:space="0" w:color="auto" w:frame="1"/>
                <w:lang w:eastAsia="pt-BR"/>
              </w:rPr>
              <w:t>(</w:t>
            </w:r>
            <w:proofErr w:type="gramEnd"/>
            <w:r w:rsidRPr="000703AC">
              <w:rPr>
                <w:rFonts w:ascii="Arial" w:eastAsia="Times New Roman" w:hAnsi="Arial" w:cs="Arial"/>
                <w:i/>
                <w:iCs/>
                <w:color w:val="000000"/>
                <w:sz w:val="18"/>
                <w:szCs w:val="18"/>
                <w:bdr w:val="none" w:sz="0" w:space="0" w:color="auto" w:frame="1"/>
                <w:lang w:eastAsia="pt-BR"/>
              </w:rPr>
              <w:t>operação feita diretamente com o BNDES - solicitações acima de R$ 10 milhões)</w:t>
            </w:r>
          </w:p>
        </w:tc>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000000"/>
                <w:sz w:val="18"/>
                <w:szCs w:val="18"/>
                <w:lang w:eastAsia="pt-BR"/>
              </w:rPr>
            </w:pPr>
            <w:r w:rsidRPr="000703AC">
              <w:rPr>
                <w:rFonts w:ascii="Arial" w:eastAsia="Times New Roman" w:hAnsi="Arial" w:cs="Arial"/>
                <w:color w:val="000000"/>
                <w:sz w:val="18"/>
                <w:szCs w:val="18"/>
                <w:lang w:eastAsia="pt-BR"/>
              </w:rPr>
              <w:t>Custo Financeiro + Remuneração Básica do BNDES +</w:t>
            </w:r>
            <w:r w:rsidRPr="000703AC">
              <w:rPr>
                <w:rFonts w:ascii="Arial" w:eastAsia="Times New Roman" w:hAnsi="Arial" w:cs="Arial"/>
                <w:color w:val="000000"/>
                <w:sz w:val="18"/>
                <w:szCs w:val="18"/>
                <w:lang w:eastAsia="pt-BR"/>
              </w:rPr>
              <w:br/>
              <w:t>Taxa de Risco de Crédito</w:t>
            </w:r>
          </w:p>
        </w:tc>
      </w:tr>
      <w:tr w:rsidR="000703AC" w:rsidRPr="000703AC" w:rsidTr="000703AC">
        <w:trPr>
          <w:tblCellSpacing w:w="15" w:type="dxa"/>
        </w:trPr>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000000"/>
                <w:sz w:val="18"/>
                <w:szCs w:val="18"/>
                <w:lang w:eastAsia="pt-BR"/>
              </w:rPr>
            </w:pPr>
            <w:r w:rsidRPr="000703AC">
              <w:rPr>
                <w:rFonts w:ascii="Arial" w:eastAsia="Times New Roman" w:hAnsi="Arial" w:cs="Arial"/>
                <w:b/>
                <w:bCs/>
                <w:color w:val="000000"/>
                <w:sz w:val="18"/>
                <w:szCs w:val="18"/>
                <w:lang w:eastAsia="pt-BR"/>
              </w:rPr>
              <w:t>Apoio indireto</w:t>
            </w:r>
            <w:r w:rsidRPr="000703AC">
              <w:rPr>
                <w:rFonts w:ascii="Arial" w:eastAsia="Times New Roman" w:hAnsi="Arial" w:cs="Arial"/>
                <w:b/>
                <w:bCs/>
                <w:color w:val="000000"/>
                <w:sz w:val="18"/>
                <w:szCs w:val="18"/>
                <w:lang w:eastAsia="pt-BR"/>
              </w:rPr>
              <w:br/>
            </w:r>
            <w:proofErr w:type="gramStart"/>
            <w:r w:rsidRPr="000703AC">
              <w:rPr>
                <w:rFonts w:ascii="Arial" w:eastAsia="Times New Roman" w:hAnsi="Arial" w:cs="Arial"/>
                <w:i/>
                <w:iCs/>
                <w:color w:val="000000"/>
                <w:sz w:val="18"/>
                <w:szCs w:val="18"/>
                <w:bdr w:val="none" w:sz="0" w:space="0" w:color="auto" w:frame="1"/>
                <w:lang w:eastAsia="pt-BR"/>
              </w:rPr>
              <w:t>(</w:t>
            </w:r>
            <w:proofErr w:type="gramEnd"/>
            <w:r w:rsidRPr="000703AC">
              <w:rPr>
                <w:rFonts w:ascii="Arial" w:eastAsia="Times New Roman" w:hAnsi="Arial" w:cs="Arial"/>
                <w:i/>
                <w:iCs/>
                <w:color w:val="000000"/>
                <w:sz w:val="18"/>
                <w:szCs w:val="18"/>
                <w:bdr w:val="none" w:sz="0" w:space="0" w:color="auto" w:frame="1"/>
                <w:lang w:eastAsia="pt-BR"/>
              </w:rPr>
              <w:t>operação feita por meio de instituição financeira credenciada - solicitações de até R$ 10 milhões)</w:t>
            </w:r>
          </w:p>
        </w:tc>
        <w:tc>
          <w:tcPr>
            <w:tcW w:w="0" w:type="auto"/>
            <w:tcBorders>
              <w:top w:val="nil"/>
              <w:left w:val="nil"/>
              <w:bottom w:val="nil"/>
              <w:right w:val="nil"/>
            </w:tcBorders>
            <w:shd w:val="clear" w:color="auto" w:fill="ECEEEB"/>
            <w:tcMar>
              <w:top w:w="75" w:type="dxa"/>
              <w:left w:w="75" w:type="dxa"/>
              <w:bottom w:w="75" w:type="dxa"/>
              <w:right w:w="75" w:type="dxa"/>
            </w:tcMar>
            <w:vAlign w:val="center"/>
            <w:hideMark/>
          </w:tcPr>
          <w:p w:rsidR="000703AC" w:rsidRPr="000703AC" w:rsidRDefault="000703AC" w:rsidP="000703AC">
            <w:pPr>
              <w:spacing w:after="0" w:line="240" w:lineRule="auto"/>
              <w:rPr>
                <w:rFonts w:ascii="Arial" w:eastAsia="Times New Roman" w:hAnsi="Arial" w:cs="Arial"/>
                <w:color w:val="000000"/>
                <w:sz w:val="18"/>
                <w:szCs w:val="18"/>
                <w:lang w:eastAsia="pt-BR"/>
              </w:rPr>
            </w:pPr>
            <w:r w:rsidRPr="000703AC">
              <w:rPr>
                <w:rFonts w:ascii="Arial" w:eastAsia="Times New Roman" w:hAnsi="Arial" w:cs="Arial"/>
                <w:color w:val="000000"/>
                <w:sz w:val="18"/>
                <w:szCs w:val="18"/>
                <w:lang w:eastAsia="pt-BR"/>
              </w:rPr>
              <w:t>Custo Financeiro + Remuneração Básica do BNDES +</w:t>
            </w:r>
            <w:r w:rsidRPr="000703AC">
              <w:rPr>
                <w:rFonts w:ascii="Arial" w:eastAsia="Times New Roman" w:hAnsi="Arial" w:cs="Arial"/>
                <w:color w:val="000000"/>
                <w:sz w:val="18"/>
                <w:szCs w:val="18"/>
                <w:lang w:eastAsia="pt-BR"/>
              </w:rPr>
              <w:br/>
              <w:t>Taxa de Intermediação Financeira +</w:t>
            </w:r>
            <w:r w:rsidRPr="000703AC">
              <w:rPr>
                <w:rFonts w:ascii="Arial" w:eastAsia="Times New Roman" w:hAnsi="Arial" w:cs="Arial"/>
                <w:color w:val="000000"/>
                <w:sz w:val="18"/>
                <w:szCs w:val="18"/>
                <w:lang w:eastAsia="pt-BR"/>
              </w:rPr>
              <w:br/>
              <w:t>Remuneração da Instituição Financeira Credenciada</w:t>
            </w:r>
          </w:p>
        </w:tc>
      </w:tr>
    </w:tbl>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b/>
          <w:bCs/>
          <w:color w:val="333333"/>
          <w:sz w:val="18"/>
          <w:szCs w:val="18"/>
          <w:lang w:eastAsia="pt-BR"/>
        </w:rPr>
        <w:t>a</w:t>
      </w:r>
      <w:proofErr w:type="gramEnd"/>
      <w:r w:rsidRPr="000703AC">
        <w:rPr>
          <w:rFonts w:ascii="Arial" w:eastAsia="Times New Roman" w:hAnsi="Arial" w:cs="Arial"/>
          <w:b/>
          <w:bCs/>
          <w:color w:val="333333"/>
          <w:sz w:val="18"/>
          <w:szCs w:val="18"/>
          <w:lang w:eastAsia="pt-BR"/>
        </w:rPr>
        <w:t>) Custo Financeiro:</w:t>
      </w:r>
      <w:r w:rsidRPr="000703AC">
        <w:rPr>
          <w:rFonts w:ascii="Arial" w:eastAsia="Times New Roman" w:hAnsi="Arial" w:cs="Arial"/>
          <w:color w:val="333333"/>
          <w:sz w:val="18"/>
          <w:szCs w:val="18"/>
          <w:lang w:eastAsia="pt-BR"/>
        </w:rPr>
        <w:t> </w:t>
      </w:r>
      <w:hyperlink r:id="rId13" w:history="1">
        <w:r w:rsidRPr="000703AC">
          <w:rPr>
            <w:rFonts w:ascii="Arial" w:eastAsia="Times New Roman" w:hAnsi="Arial" w:cs="Arial"/>
            <w:b/>
            <w:bCs/>
            <w:color w:val="00529C"/>
            <w:sz w:val="18"/>
            <w:szCs w:val="18"/>
            <w:u w:val="single"/>
            <w:lang w:eastAsia="pt-BR"/>
          </w:rPr>
          <w:t>TJLP</w:t>
        </w:r>
      </w:hyperlink>
      <w:r w:rsidRPr="000703AC">
        <w:rPr>
          <w:rFonts w:ascii="Arial" w:eastAsia="Times New Roman" w:hAnsi="Arial" w:cs="Arial"/>
          <w:color w:val="333333"/>
          <w:sz w:val="18"/>
          <w:szCs w:val="18"/>
          <w:lang w:eastAsia="pt-BR"/>
        </w:rPr>
        <w:t>.</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b/>
          <w:bCs/>
          <w:color w:val="333333"/>
          <w:sz w:val="18"/>
          <w:szCs w:val="18"/>
          <w:lang w:eastAsia="pt-BR"/>
        </w:rPr>
        <w:t>b) Remuneração Básica do BNDES:</w:t>
      </w:r>
      <w:r w:rsidRPr="000703AC">
        <w:rPr>
          <w:rFonts w:ascii="Arial" w:eastAsia="Times New Roman" w:hAnsi="Arial" w:cs="Arial"/>
          <w:color w:val="333333"/>
          <w:sz w:val="18"/>
          <w:szCs w:val="18"/>
          <w:lang w:eastAsia="pt-BR"/>
        </w:rPr>
        <w:t> 0,9% a.a.</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b/>
          <w:bCs/>
          <w:color w:val="333333"/>
          <w:sz w:val="18"/>
          <w:szCs w:val="18"/>
          <w:lang w:eastAsia="pt-BR"/>
        </w:rPr>
        <w:t>c) Taxa de Risco de Crédito:</w:t>
      </w:r>
      <w:r w:rsidRPr="000703AC">
        <w:rPr>
          <w:rFonts w:ascii="Arial" w:eastAsia="Times New Roman" w:hAnsi="Arial" w:cs="Arial"/>
          <w:color w:val="333333"/>
          <w:sz w:val="18"/>
          <w:szCs w:val="18"/>
          <w:lang w:eastAsia="pt-BR"/>
        </w:rPr>
        <w:t> 1,0% a.a.</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b/>
          <w:bCs/>
          <w:color w:val="333333"/>
          <w:sz w:val="18"/>
          <w:szCs w:val="18"/>
          <w:lang w:eastAsia="pt-BR"/>
        </w:rPr>
        <w:t>e) Taxa de Intermediação Financeira:</w:t>
      </w:r>
      <w:r w:rsidRPr="000703AC">
        <w:rPr>
          <w:rFonts w:ascii="Arial" w:eastAsia="Times New Roman" w:hAnsi="Arial" w:cs="Arial"/>
          <w:color w:val="333333"/>
          <w:sz w:val="18"/>
          <w:szCs w:val="18"/>
          <w:lang w:eastAsia="pt-BR"/>
        </w:rPr>
        <w:t> isenta.</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b/>
          <w:bCs/>
          <w:color w:val="333333"/>
          <w:sz w:val="18"/>
          <w:szCs w:val="18"/>
          <w:lang w:eastAsia="pt-BR"/>
        </w:rPr>
        <w:t>f) Remuneração da Instituição Financeira Credenciada:</w:t>
      </w:r>
      <w:r w:rsidRPr="000703AC">
        <w:rPr>
          <w:rFonts w:ascii="Arial" w:eastAsia="Times New Roman" w:hAnsi="Arial" w:cs="Arial"/>
          <w:color w:val="333333"/>
          <w:sz w:val="18"/>
          <w:szCs w:val="18"/>
          <w:lang w:eastAsia="pt-BR"/>
        </w:rPr>
        <w:t> negociada entre a </w:t>
      </w:r>
      <w:hyperlink r:id="rId14" w:history="1">
        <w:r w:rsidRPr="000703AC">
          <w:rPr>
            <w:rFonts w:ascii="Arial" w:eastAsia="Times New Roman" w:hAnsi="Arial" w:cs="Arial"/>
            <w:b/>
            <w:bCs/>
            <w:color w:val="00529C"/>
            <w:sz w:val="18"/>
            <w:szCs w:val="18"/>
            <w:u w:val="single"/>
            <w:lang w:eastAsia="pt-BR"/>
          </w:rPr>
          <w:t>instituição financeira credenciada</w:t>
        </w:r>
      </w:hyperlink>
      <w:r w:rsidRPr="000703AC">
        <w:rPr>
          <w:rFonts w:ascii="Arial" w:eastAsia="Times New Roman" w:hAnsi="Arial" w:cs="Arial"/>
          <w:color w:val="333333"/>
          <w:sz w:val="18"/>
          <w:szCs w:val="18"/>
          <w:lang w:eastAsia="pt-BR"/>
        </w:rPr>
        <w:t> e o cliente.</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Participação máxima do BNDES</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90% dos itens financiáveis.</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Prazo Total</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 xml:space="preserve">Até </w:t>
      </w:r>
      <w:proofErr w:type="gramStart"/>
      <w:r w:rsidRPr="000703AC">
        <w:rPr>
          <w:rFonts w:ascii="Arial" w:eastAsia="Times New Roman" w:hAnsi="Arial" w:cs="Arial"/>
          <w:color w:val="333333"/>
          <w:sz w:val="18"/>
          <w:szCs w:val="18"/>
          <w:lang w:eastAsia="pt-BR"/>
        </w:rPr>
        <w:t>8</w:t>
      </w:r>
      <w:proofErr w:type="gramEnd"/>
      <w:r w:rsidRPr="000703AC">
        <w:rPr>
          <w:rFonts w:ascii="Arial" w:eastAsia="Times New Roman" w:hAnsi="Arial" w:cs="Arial"/>
          <w:color w:val="333333"/>
          <w:sz w:val="18"/>
          <w:szCs w:val="18"/>
          <w:lang w:eastAsia="pt-BR"/>
        </w:rPr>
        <w:t xml:space="preserve"> anos, incluído o prazo máximo de carência de 2 anos.</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Garantias</w:t>
      </w:r>
    </w:p>
    <w:p w:rsidR="000703AC" w:rsidRPr="000703AC" w:rsidRDefault="000703AC" w:rsidP="000703AC">
      <w:pPr>
        <w:spacing w:before="300" w:after="0" w:line="240" w:lineRule="auto"/>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Cotas-parte do Fundo de Participação dos Municípios (FPM) e/ou receitas provenientes do ICMS ou ICMS-Exportação.</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Considerações adicionais</w:t>
      </w:r>
    </w:p>
    <w:p w:rsidR="000703AC" w:rsidRPr="000703AC" w:rsidRDefault="000703AC" w:rsidP="000703AC">
      <w:pPr>
        <w:numPr>
          <w:ilvl w:val="0"/>
          <w:numId w:val="5"/>
        </w:numPr>
        <w:spacing w:after="0" w:line="240" w:lineRule="auto"/>
        <w:ind w:left="0"/>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O município solicitante deverá apresentar Projeto de Modernização que permita identificar, analisar e acompanhar detalhadamente o conjunto de ações e metas físicas e financeiras por meio das quais pretenda alcançar um maior nível de eficiência em sua arrecadação ou de redução efetiva do custo unitário do setor público na prestação dos serviços sociais básicos.</w:t>
      </w:r>
    </w:p>
    <w:p w:rsidR="000703AC" w:rsidRPr="000703AC" w:rsidRDefault="000703AC" w:rsidP="000703AC">
      <w:pPr>
        <w:numPr>
          <w:ilvl w:val="0"/>
          <w:numId w:val="5"/>
        </w:numPr>
        <w:spacing w:after="0" w:line="240" w:lineRule="auto"/>
        <w:ind w:left="0"/>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O município deverá constituir Grupo Especial de Trabalho de Modernização da Gestão Pública, que deverá contar com, pelo menos, 40% de servidores públicos municipais efetivos entre seus membros, para coordenar a elaboração, implantação e o acompanhamento de todo o projeto.</w:t>
      </w:r>
    </w:p>
    <w:p w:rsidR="000703AC" w:rsidRPr="000703AC" w:rsidRDefault="000703AC" w:rsidP="000703AC">
      <w:pPr>
        <w:numPr>
          <w:ilvl w:val="0"/>
          <w:numId w:val="5"/>
        </w:numPr>
        <w:spacing w:after="0" w:line="240" w:lineRule="auto"/>
        <w:ind w:left="0"/>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Caso o projeto envolva financiamento para a aquisição de motocicletas e/ou automóveis de passeio voltados a atividades de suporte à fiscalização, o município deverá apresentar, ao solicitar o financiamento, declaração firmada pelo prefeito quanto ao número de fiscais do município.</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lastRenderedPageBreak/>
        <w:t>Encaminhamento </w:t>
      </w:r>
    </w:p>
    <w:p w:rsidR="000703AC" w:rsidRPr="000703AC" w:rsidRDefault="000703AC" w:rsidP="000703AC">
      <w:pPr>
        <w:numPr>
          <w:ilvl w:val="0"/>
          <w:numId w:val="6"/>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As solicitações de financiamento abaixo de R$ 10 milhões devem ser feitas junto à </w:t>
      </w:r>
      <w:hyperlink r:id="rId15" w:tgtFrame="_self" w:history="1">
        <w:r w:rsidRPr="000703AC">
          <w:rPr>
            <w:rFonts w:ascii="Arial" w:eastAsia="Times New Roman" w:hAnsi="Arial" w:cs="Arial"/>
            <w:b/>
            <w:bCs/>
            <w:color w:val="00529C"/>
            <w:sz w:val="18"/>
            <w:szCs w:val="18"/>
            <w:u w:val="single"/>
            <w:lang w:eastAsia="pt-BR"/>
          </w:rPr>
          <w:t>instituição financeira credenciada</w:t>
        </w:r>
      </w:hyperlink>
      <w:r w:rsidRPr="000703AC">
        <w:rPr>
          <w:rFonts w:ascii="Arial" w:eastAsia="Times New Roman" w:hAnsi="Arial" w:cs="Arial"/>
          <w:color w:val="333333"/>
          <w:sz w:val="18"/>
          <w:szCs w:val="18"/>
          <w:lang w:eastAsia="pt-BR"/>
        </w:rPr>
        <w:t> de sua preferência, que informará qual a documentação necessária, analisará a possibilidade de concessão do crédito e negociará as garantias. A proposta deverá ser feita conforme o </w:t>
      </w:r>
      <w:hyperlink r:id="rId16" w:history="1">
        <w:r w:rsidRPr="000703AC">
          <w:rPr>
            <w:rFonts w:ascii="Arial" w:eastAsia="Times New Roman" w:hAnsi="Arial" w:cs="Arial"/>
            <w:b/>
            <w:bCs/>
            <w:color w:val="00529C"/>
            <w:sz w:val="18"/>
            <w:szCs w:val="18"/>
            <w:u w:val="single"/>
            <w:lang w:eastAsia="pt-BR"/>
          </w:rPr>
          <w:t>Roteiro para Elaboração de Proposta de</w:t>
        </w:r>
        <w:r w:rsidRPr="000703AC">
          <w:rPr>
            <w:rFonts w:ascii="Arial" w:eastAsia="Times New Roman" w:hAnsi="Arial" w:cs="Arial"/>
            <w:b/>
            <w:bCs/>
            <w:color w:val="00529C"/>
            <w:sz w:val="18"/>
            <w:szCs w:val="18"/>
            <w:u w:val="single"/>
            <w:lang w:eastAsia="pt-BR"/>
          </w:rPr>
          <w:t xml:space="preserve"> </w:t>
        </w:r>
        <w:r w:rsidRPr="000703AC">
          <w:rPr>
            <w:rFonts w:ascii="Arial" w:eastAsia="Times New Roman" w:hAnsi="Arial" w:cs="Arial"/>
            <w:b/>
            <w:bCs/>
            <w:color w:val="00529C"/>
            <w:sz w:val="18"/>
            <w:szCs w:val="18"/>
            <w:u w:val="single"/>
            <w:lang w:eastAsia="pt-BR"/>
          </w:rPr>
          <w:t>Operação Indireta Não Automática</w:t>
        </w:r>
      </w:hyperlink>
      <w:r w:rsidRPr="000703AC">
        <w:rPr>
          <w:rFonts w:ascii="Arial" w:eastAsia="Times New Roman" w:hAnsi="Arial" w:cs="Arial"/>
          <w:color w:val="333333"/>
          <w:sz w:val="18"/>
          <w:szCs w:val="18"/>
          <w:lang w:eastAsia="pt-BR"/>
        </w:rPr>
        <w:t>. </w:t>
      </w:r>
    </w:p>
    <w:p w:rsidR="000703AC" w:rsidRPr="000703AC" w:rsidRDefault="000703AC" w:rsidP="000703AC">
      <w:pPr>
        <w:numPr>
          <w:ilvl w:val="0"/>
          <w:numId w:val="6"/>
        </w:numPr>
        <w:spacing w:before="75" w:after="75" w:line="240" w:lineRule="auto"/>
        <w:ind w:left="375" w:right="75"/>
        <w:textAlignment w:val="center"/>
        <w:rPr>
          <w:rFonts w:ascii="Arial" w:eastAsia="Times New Roman" w:hAnsi="Arial" w:cs="Arial"/>
          <w:color w:val="333333"/>
          <w:sz w:val="18"/>
          <w:szCs w:val="18"/>
          <w:lang w:eastAsia="pt-BR"/>
        </w:rPr>
      </w:pPr>
      <w:r w:rsidRPr="000703AC">
        <w:rPr>
          <w:rFonts w:ascii="Arial" w:eastAsia="Times New Roman" w:hAnsi="Arial" w:cs="Arial"/>
          <w:color w:val="333333"/>
          <w:sz w:val="18"/>
          <w:szCs w:val="18"/>
          <w:lang w:eastAsia="pt-BR"/>
        </w:rPr>
        <w:t>As solicitações de financiamento acima de R$ 10 milhões devem ser realizadas sob a forma de Consulta Prévia, segundo o </w:t>
      </w:r>
      <w:hyperlink r:id="rId17" w:tgtFrame="_self" w:history="1">
        <w:r w:rsidRPr="000703AC">
          <w:rPr>
            <w:rFonts w:ascii="Arial" w:eastAsia="Times New Roman" w:hAnsi="Arial" w:cs="Arial"/>
            <w:b/>
            <w:bCs/>
            <w:color w:val="00529C"/>
            <w:sz w:val="18"/>
            <w:szCs w:val="18"/>
            <w:u w:val="single"/>
            <w:lang w:eastAsia="pt-BR"/>
          </w:rPr>
          <w:t>Roteiro d</w:t>
        </w:r>
        <w:r w:rsidRPr="000703AC">
          <w:rPr>
            <w:rFonts w:ascii="Arial" w:eastAsia="Times New Roman" w:hAnsi="Arial" w:cs="Arial"/>
            <w:b/>
            <w:bCs/>
            <w:color w:val="00529C"/>
            <w:sz w:val="18"/>
            <w:szCs w:val="18"/>
            <w:u w:val="single"/>
            <w:lang w:eastAsia="pt-BR"/>
          </w:rPr>
          <w:t>e</w:t>
        </w:r>
        <w:r w:rsidRPr="000703AC">
          <w:rPr>
            <w:rFonts w:ascii="Arial" w:eastAsia="Times New Roman" w:hAnsi="Arial" w:cs="Arial"/>
            <w:b/>
            <w:bCs/>
            <w:color w:val="00529C"/>
            <w:sz w:val="18"/>
            <w:szCs w:val="18"/>
            <w:u w:val="single"/>
            <w:lang w:eastAsia="pt-BR"/>
          </w:rPr>
          <w:t xml:space="preserve"> Informações</w:t>
        </w:r>
      </w:hyperlink>
      <w:r w:rsidRPr="000703AC">
        <w:rPr>
          <w:rFonts w:ascii="Arial" w:eastAsia="Times New Roman" w:hAnsi="Arial" w:cs="Arial"/>
          <w:color w:val="333333"/>
          <w:sz w:val="18"/>
          <w:szCs w:val="18"/>
          <w:lang w:eastAsia="pt-BR"/>
        </w:rPr>
        <w:t>, e encaminhadas para:</w:t>
      </w:r>
      <w:r w:rsidRPr="000703AC">
        <w:rPr>
          <w:rFonts w:ascii="Arial" w:eastAsia="Times New Roman" w:hAnsi="Arial" w:cs="Arial"/>
          <w:color w:val="333333"/>
          <w:sz w:val="18"/>
          <w:szCs w:val="18"/>
          <w:lang w:eastAsia="pt-BR"/>
        </w:rPr>
        <w:br/>
      </w:r>
      <w:r w:rsidRPr="000703AC">
        <w:rPr>
          <w:rFonts w:ascii="Arial" w:eastAsia="Times New Roman" w:hAnsi="Arial" w:cs="Arial"/>
          <w:color w:val="333333"/>
          <w:sz w:val="18"/>
          <w:szCs w:val="18"/>
          <w:lang w:eastAsia="pt-BR"/>
        </w:rPr>
        <w:br/>
        <w:t>Banco Nacional de Desenvolvimento Econômico e Social - BNDES</w:t>
      </w:r>
      <w:r w:rsidRPr="000703AC">
        <w:rPr>
          <w:rFonts w:ascii="Arial" w:eastAsia="Times New Roman" w:hAnsi="Arial" w:cs="Arial"/>
          <w:color w:val="333333"/>
          <w:sz w:val="18"/>
          <w:szCs w:val="18"/>
          <w:lang w:eastAsia="pt-BR"/>
        </w:rPr>
        <w:br/>
        <w:t>Área de Planejamento - AP</w:t>
      </w:r>
      <w:r w:rsidRPr="000703AC">
        <w:rPr>
          <w:rFonts w:ascii="Arial" w:eastAsia="Times New Roman" w:hAnsi="Arial" w:cs="Arial"/>
          <w:color w:val="333333"/>
          <w:sz w:val="18"/>
          <w:szCs w:val="18"/>
          <w:lang w:eastAsia="pt-BR"/>
        </w:rPr>
        <w:br/>
        <w:t>Departamento de Prioridades - DEPRI</w:t>
      </w:r>
      <w:r w:rsidRPr="000703AC">
        <w:rPr>
          <w:rFonts w:ascii="Arial" w:eastAsia="Times New Roman" w:hAnsi="Arial" w:cs="Arial"/>
          <w:color w:val="333333"/>
          <w:sz w:val="18"/>
          <w:szCs w:val="18"/>
          <w:lang w:eastAsia="pt-BR"/>
        </w:rPr>
        <w:br/>
        <w:t>Av. República do Chile, 100 - Protocolo - Térreo</w:t>
      </w:r>
      <w:r w:rsidRPr="000703AC">
        <w:rPr>
          <w:rFonts w:ascii="Arial" w:eastAsia="Times New Roman" w:hAnsi="Arial" w:cs="Arial"/>
          <w:color w:val="333333"/>
          <w:sz w:val="18"/>
          <w:szCs w:val="18"/>
          <w:lang w:eastAsia="pt-BR"/>
        </w:rPr>
        <w:br/>
        <w:t>20031-917 - Rio de Janeiro - RJ </w:t>
      </w:r>
      <w:r w:rsidRPr="000703AC">
        <w:rPr>
          <w:rFonts w:ascii="Arial" w:eastAsia="Times New Roman" w:hAnsi="Arial" w:cs="Arial"/>
          <w:color w:val="333333"/>
          <w:sz w:val="18"/>
          <w:szCs w:val="18"/>
          <w:lang w:eastAsia="pt-BR"/>
        </w:rPr>
        <w:br/>
      </w:r>
      <w:r w:rsidRPr="000703AC">
        <w:rPr>
          <w:rFonts w:ascii="Arial" w:eastAsia="Times New Roman" w:hAnsi="Arial" w:cs="Arial"/>
          <w:color w:val="333333"/>
          <w:sz w:val="18"/>
          <w:szCs w:val="18"/>
          <w:lang w:eastAsia="pt-BR"/>
        </w:rPr>
        <w:br/>
        <w:t>acompanhada dos seguintes documentos:</w:t>
      </w:r>
    </w:p>
    <w:p w:rsidR="000703AC" w:rsidRPr="000703AC" w:rsidRDefault="000703AC" w:rsidP="000703AC">
      <w:pPr>
        <w:numPr>
          <w:ilvl w:val="1"/>
          <w:numId w:val="7"/>
        </w:numPr>
        <w:spacing w:after="0" w:line="240" w:lineRule="auto"/>
        <w:ind w:left="750" w:right="150"/>
        <w:textAlignment w:val="center"/>
        <w:rPr>
          <w:rFonts w:ascii="Arial" w:eastAsia="Times New Roman" w:hAnsi="Arial" w:cs="Arial"/>
          <w:color w:val="333333"/>
          <w:sz w:val="18"/>
          <w:szCs w:val="18"/>
          <w:lang w:eastAsia="pt-BR"/>
        </w:rPr>
      </w:pPr>
      <w:hyperlink r:id="rId18" w:history="1">
        <w:r w:rsidRPr="000703AC">
          <w:rPr>
            <w:rFonts w:ascii="Arial" w:eastAsia="Times New Roman" w:hAnsi="Arial" w:cs="Arial"/>
            <w:b/>
            <w:bCs/>
            <w:color w:val="00529C"/>
            <w:sz w:val="18"/>
            <w:szCs w:val="18"/>
            <w:u w:val="single"/>
            <w:lang w:eastAsia="pt-BR"/>
          </w:rPr>
          <w:t xml:space="preserve">Ficha Cadastral de </w:t>
        </w:r>
        <w:r w:rsidRPr="000703AC">
          <w:rPr>
            <w:rFonts w:ascii="Arial" w:eastAsia="Times New Roman" w:hAnsi="Arial" w:cs="Arial"/>
            <w:b/>
            <w:bCs/>
            <w:color w:val="00529C"/>
            <w:sz w:val="18"/>
            <w:szCs w:val="18"/>
            <w:u w:val="single"/>
            <w:lang w:eastAsia="pt-BR"/>
          </w:rPr>
          <w:t>E</w:t>
        </w:r>
        <w:r w:rsidRPr="000703AC">
          <w:rPr>
            <w:rFonts w:ascii="Arial" w:eastAsia="Times New Roman" w:hAnsi="Arial" w:cs="Arial"/>
            <w:b/>
            <w:bCs/>
            <w:color w:val="00529C"/>
            <w:sz w:val="18"/>
            <w:szCs w:val="18"/>
            <w:u w:val="single"/>
            <w:lang w:eastAsia="pt-BR"/>
          </w:rPr>
          <w:t>nte Público</w:t>
        </w:r>
      </w:hyperlink>
      <w:r w:rsidRPr="000703AC">
        <w:rPr>
          <w:rFonts w:ascii="Arial" w:eastAsia="Times New Roman" w:hAnsi="Arial" w:cs="Arial"/>
          <w:color w:val="333333"/>
          <w:sz w:val="18"/>
          <w:szCs w:val="18"/>
          <w:lang w:eastAsia="pt-BR"/>
        </w:rPr>
        <w:t> (Município) (</w:t>
      </w:r>
      <w:r w:rsidRPr="000703AC">
        <w:rPr>
          <w:rFonts w:ascii="Arial" w:eastAsia="Times New Roman" w:hAnsi="Arial" w:cs="Arial"/>
          <w:i/>
          <w:iCs/>
          <w:color w:val="333333"/>
          <w:sz w:val="18"/>
          <w:szCs w:val="18"/>
          <w:bdr w:val="none" w:sz="0" w:space="0" w:color="auto" w:frame="1"/>
          <w:lang w:eastAsia="pt-BR"/>
        </w:rPr>
        <w:t>arquivo Word</w:t>
      </w:r>
      <w:r w:rsidRPr="000703AC">
        <w:rPr>
          <w:rFonts w:ascii="Arial" w:eastAsia="Times New Roman" w:hAnsi="Arial" w:cs="Arial"/>
          <w:color w:val="333333"/>
          <w:sz w:val="18"/>
          <w:szCs w:val="18"/>
          <w:lang w:eastAsia="pt-BR"/>
        </w:rPr>
        <w:t>)</w:t>
      </w:r>
    </w:p>
    <w:p w:rsidR="000703AC" w:rsidRPr="000703AC" w:rsidRDefault="000703AC" w:rsidP="000703AC">
      <w:pPr>
        <w:numPr>
          <w:ilvl w:val="1"/>
          <w:numId w:val="7"/>
        </w:numPr>
        <w:spacing w:after="0" w:line="240" w:lineRule="auto"/>
        <w:ind w:left="750" w:right="150"/>
        <w:textAlignment w:val="center"/>
        <w:rPr>
          <w:rFonts w:ascii="Arial" w:eastAsia="Times New Roman" w:hAnsi="Arial" w:cs="Arial"/>
          <w:color w:val="333333"/>
          <w:sz w:val="18"/>
          <w:szCs w:val="18"/>
          <w:lang w:eastAsia="pt-BR"/>
        </w:rPr>
      </w:pPr>
      <w:hyperlink r:id="rId19" w:history="1">
        <w:r w:rsidRPr="000703AC">
          <w:rPr>
            <w:rFonts w:ascii="Arial" w:eastAsia="Times New Roman" w:hAnsi="Arial" w:cs="Arial"/>
            <w:b/>
            <w:bCs/>
            <w:color w:val="00529C"/>
            <w:sz w:val="18"/>
            <w:szCs w:val="18"/>
            <w:u w:val="single"/>
            <w:lang w:eastAsia="pt-BR"/>
          </w:rPr>
          <w:t>Ficha Cadast</w:t>
        </w:r>
        <w:r w:rsidRPr="000703AC">
          <w:rPr>
            <w:rFonts w:ascii="Arial" w:eastAsia="Times New Roman" w:hAnsi="Arial" w:cs="Arial"/>
            <w:b/>
            <w:bCs/>
            <w:color w:val="00529C"/>
            <w:sz w:val="18"/>
            <w:szCs w:val="18"/>
            <w:u w:val="single"/>
            <w:lang w:eastAsia="pt-BR"/>
          </w:rPr>
          <w:t>r</w:t>
        </w:r>
        <w:r w:rsidRPr="000703AC">
          <w:rPr>
            <w:rFonts w:ascii="Arial" w:eastAsia="Times New Roman" w:hAnsi="Arial" w:cs="Arial"/>
            <w:b/>
            <w:bCs/>
            <w:color w:val="00529C"/>
            <w:sz w:val="18"/>
            <w:szCs w:val="18"/>
            <w:u w:val="single"/>
            <w:lang w:eastAsia="pt-BR"/>
          </w:rPr>
          <w:t>al de Pessoa Física</w:t>
        </w:r>
      </w:hyperlink>
      <w:r w:rsidRPr="000703AC">
        <w:rPr>
          <w:rFonts w:ascii="Arial" w:eastAsia="Times New Roman" w:hAnsi="Arial" w:cs="Arial"/>
          <w:color w:val="333333"/>
          <w:sz w:val="18"/>
          <w:szCs w:val="18"/>
          <w:lang w:eastAsia="pt-BR"/>
        </w:rPr>
        <w:t> (Prefeito e Secretários Municipais responsáveis) (</w:t>
      </w:r>
      <w:r w:rsidRPr="000703AC">
        <w:rPr>
          <w:rFonts w:ascii="Arial" w:eastAsia="Times New Roman" w:hAnsi="Arial" w:cs="Arial"/>
          <w:i/>
          <w:iCs/>
          <w:color w:val="333333"/>
          <w:sz w:val="18"/>
          <w:szCs w:val="18"/>
          <w:bdr w:val="none" w:sz="0" w:space="0" w:color="auto" w:frame="1"/>
          <w:lang w:eastAsia="pt-BR"/>
        </w:rPr>
        <w:t>arquivo Word</w:t>
      </w:r>
      <w:r w:rsidRPr="000703AC">
        <w:rPr>
          <w:rFonts w:ascii="Arial" w:eastAsia="Times New Roman" w:hAnsi="Arial" w:cs="Arial"/>
          <w:color w:val="333333"/>
          <w:sz w:val="18"/>
          <w:szCs w:val="18"/>
          <w:lang w:eastAsia="pt-BR"/>
        </w:rPr>
        <w:t>)</w:t>
      </w:r>
    </w:p>
    <w:p w:rsidR="000703AC" w:rsidRPr="000703AC" w:rsidRDefault="000703AC" w:rsidP="000703AC">
      <w:pPr>
        <w:numPr>
          <w:ilvl w:val="0"/>
          <w:numId w:val="8"/>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o</w:t>
      </w:r>
      <w:proofErr w:type="gramEnd"/>
      <w:r w:rsidRPr="000703AC">
        <w:rPr>
          <w:rFonts w:ascii="Arial" w:eastAsia="Times New Roman" w:hAnsi="Arial" w:cs="Arial"/>
          <w:color w:val="333333"/>
          <w:sz w:val="18"/>
          <w:szCs w:val="18"/>
          <w:lang w:eastAsia="pt-BR"/>
        </w:rPr>
        <w:t xml:space="preserve"> município solicitante deverá apresentar à </w:t>
      </w:r>
      <w:hyperlink r:id="rId20" w:tgtFrame="_self" w:history="1">
        <w:r w:rsidRPr="000703AC">
          <w:rPr>
            <w:rFonts w:ascii="Arial" w:eastAsia="Times New Roman" w:hAnsi="Arial" w:cs="Arial"/>
            <w:b/>
            <w:bCs/>
            <w:color w:val="00529C"/>
            <w:sz w:val="18"/>
            <w:szCs w:val="18"/>
            <w:u w:val="single"/>
            <w:lang w:eastAsia="pt-BR"/>
          </w:rPr>
          <w:t>instituição financeira credenciada</w:t>
        </w:r>
      </w:hyperlink>
      <w:r w:rsidRPr="000703AC">
        <w:rPr>
          <w:rFonts w:ascii="Arial" w:eastAsia="Times New Roman" w:hAnsi="Arial" w:cs="Arial"/>
          <w:color w:val="333333"/>
          <w:sz w:val="18"/>
          <w:szCs w:val="18"/>
          <w:lang w:eastAsia="pt-BR"/>
        </w:rPr>
        <w:t> (no caso de apoio indireto) ou ao BNDES (no caso de apoio direto), com base nas Normas Orientadoras que regem a linha de financiamento e após o enquadramento de sua Consulta Prévia, um Projeto de Modernização da Administração Tributária e da Gestão dos Setores Sociais Básicos, que permita identificar, analisar e acompanhar o conjunto de ações e metas, através das quais pretenda alcançar um maior nível de eficiência fiscal em sua arrecadação e a melhoria da qualidade do gasto municipal;</w:t>
      </w:r>
    </w:p>
    <w:p w:rsidR="000703AC" w:rsidRPr="000703AC" w:rsidRDefault="000703AC" w:rsidP="000703AC">
      <w:pPr>
        <w:numPr>
          <w:ilvl w:val="0"/>
          <w:numId w:val="8"/>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o</w:t>
      </w:r>
      <w:proofErr w:type="gramEnd"/>
      <w:r w:rsidRPr="000703AC">
        <w:rPr>
          <w:rFonts w:ascii="Arial" w:eastAsia="Times New Roman" w:hAnsi="Arial" w:cs="Arial"/>
          <w:color w:val="333333"/>
          <w:sz w:val="18"/>
          <w:szCs w:val="18"/>
          <w:lang w:eastAsia="pt-BR"/>
        </w:rPr>
        <w:t xml:space="preserve"> município deverá encaminhar Decreto municipal publicado, formalizando a constituição do Grupo Especial de Trabalho de Modernização da Gestão Pública (NEMAT), responsável por coordenar a elaboração e implantação de todo o projeto.   </w:t>
      </w:r>
    </w:p>
    <w:p w:rsidR="000703AC" w:rsidRPr="000703AC" w:rsidRDefault="000703AC" w:rsidP="000703AC">
      <w:pPr>
        <w:spacing w:before="420" w:after="300" w:line="240" w:lineRule="auto"/>
        <w:textAlignment w:val="center"/>
        <w:outlineLvl w:val="2"/>
        <w:rPr>
          <w:rFonts w:ascii="Arial" w:eastAsia="Times New Roman" w:hAnsi="Arial" w:cs="Arial"/>
          <w:b/>
          <w:bCs/>
          <w:color w:val="207136"/>
          <w:sz w:val="24"/>
          <w:szCs w:val="24"/>
          <w:lang w:eastAsia="pt-BR"/>
        </w:rPr>
      </w:pPr>
      <w:r w:rsidRPr="000703AC">
        <w:rPr>
          <w:rFonts w:ascii="Arial" w:eastAsia="Times New Roman" w:hAnsi="Arial" w:cs="Arial"/>
          <w:b/>
          <w:bCs/>
          <w:color w:val="207136"/>
          <w:sz w:val="24"/>
          <w:szCs w:val="24"/>
          <w:lang w:eastAsia="pt-BR"/>
        </w:rPr>
        <w:t>Acompanhamento</w:t>
      </w:r>
    </w:p>
    <w:p w:rsidR="000703AC" w:rsidRPr="000703AC" w:rsidRDefault="000703AC" w:rsidP="000703AC">
      <w:pPr>
        <w:numPr>
          <w:ilvl w:val="0"/>
          <w:numId w:val="9"/>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para</w:t>
      </w:r>
      <w:proofErr w:type="gramEnd"/>
      <w:r w:rsidRPr="000703AC">
        <w:rPr>
          <w:rFonts w:ascii="Arial" w:eastAsia="Times New Roman" w:hAnsi="Arial" w:cs="Arial"/>
          <w:color w:val="333333"/>
          <w:sz w:val="18"/>
          <w:szCs w:val="18"/>
          <w:lang w:eastAsia="pt-BR"/>
        </w:rPr>
        <w:t xml:space="preserve"> acompanhamento do projeto o munícipio deverá elaborar periodicamente relatório de acompanhamento do projeto, cujo modelo será fornecido pela instituição financeira credenciada (no caso de apoio indireto) ou pelo BNDES (no caso de apoio direto);</w:t>
      </w:r>
    </w:p>
    <w:p w:rsidR="000703AC" w:rsidRPr="000703AC" w:rsidRDefault="000703AC" w:rsidP="000703AC">
      <w:pPr>
        <w:numPr>
          <w:ilvl w:val="0"/>
          <w:numId w:val="9"/>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a</w:t>
      </w:r>
      <w:proofErr w:type="gramEnd"/>
      <w:r w:rsidRPr="000703AC">
        <w:rPr>
          <w:rFonts w:ascii="Arial" w:eastAsia="Times New Roman" w:hAnsi="Arial" w:cs="Arial"/>
          <w:color w:val="333333"/>
          <w:sz w:val="18"/>
          <w:szCs w:val="18"/>
          <w:lang w:eastAsia="pt-BR"/>
        </w:rPr>
        <w:t xml:space="preserve"> instituição financeira credenciada e o BNDES realizarão periodicamente visitas técnicas de acompanhamento e avaliação dos projetos realizados, tanto na modalidade direta como indireta, para o conjunto dos municípios apoiados, com vistas ao atingimento das metas e objetivos do projeto, bem como para fomentar o intercâmbio de experiências e a difusão de iniciativas de sucesso;</w:t>
      </w:r>
    </w:p>
    <w:p w:rsidR="000703AC" w:rsidRPr="000703AC" w:rsidRDefault="000703AC" w:rsidP="000703AC">
      <w:pPr>
        <w:numPr>
          <w:ilvl w:val="0"/>
          <w:numId w:val="9"/>
        </w:numPr>
        <w:spacing w:before="75" w:after="75" w:line="240" w:lineRule="auto"/>
        <w:ind w:left="375" w:right="75"/>
        <w:textAlignment w:val="center"/>
        <w:rPr>
          <w:rFonts w:ascii="Arial" w:eastAsia="Times New Roman" w:hAnsi="Arial" w:cs="Arial"/>
          <w:color w:val="333333"/>
          <w:sz w:val="18"/>
          <w:szCs w:val="18"/>
          <w:lang w:eastAsia="pt-BR"/>
        </w:rPr>
      </w:pPr>
      <w:proofErr w:type="gramStart"/>
      <w:r w:rsidRPr="000703AC">
        <w:rPr>
          <w:rFonts w:ascii="Arial" w:eastAsia="Times New Roman" w:hAnsi="Arial" w:cs="Arial"/>
          <w:color w:val="333333"/>
          <w:sz w:val="18"/>
          <w:szCs w:val="18"/>
          <w:lang w:eastAsia="pt-BR"/>
        </w:rPr>
        <w:t>municípios</w:t>
      </w:r>
      <w:proofErr w:type="gramEnd"/>
      <w:r w:rsidRPr="000703AC">
        <w:rPr>
          <w:rFonts w:ascii="Arial" w:eastAsia="Times New Roman" w:hAnsi="Arial" w:cs="Arial"/>
          <w:color w:val="333333"/>
          <w:sz w:val="18"/>
          <w:szCs w:val="18"/>
          <w:lang w:eastAsia="pt-BR"/>
        </w:rPr>
        <w:t xml:space="preserve"> que contrataram operações diretamente com o BNDES têm a possibilidade de imprimir relatórios e pesquisar informações relacionadas à cobrança por meio do portal do BNDES. Os municípios que contrataram operações por meio de instituições financeiras credenciadas devem se dirigir a estes intermediários para obterem tais informações. Veja: </w:t>
      </w:r>
      <w:proofErr w:type="spellStart"/>
      <w:r w:rsidRPr="000703AC">
        <w:rPr>
          <w:rFonts w:ascii="Arial" w:eastAsia="Times New Roman" w:hAnsi="Arial" w:cs="Arial"/>
          <w:color w:val="333333"/>
          <w:sz w:val="18"/>
          <w:szCs w:val="18"/>
          <w:lang w:eastAsia="pt-BR"/>
        </w:rPr>
        <w:fldChar w:fldCharType="begin"/>
      </w:r>
      <w:r w:rsidRPr="000703AC">
        <w:rPr>
          <w:rFonts w:ascii="Arial" w:eastAsia="Times New Roman" w:hAnsi="Arial" w:cs="Arial"/>
          <w:color w:val="333333"/>
          <w:sz w:val="18"/>
          <w:szCs w:val="18"/>
          <w:lang w:eastAsia="pt-BR"/>
        </w:rPr>
        <w:instrText xml:space="preserve"> HYPERLINK "https://cobrancanet.bndes.gov.br/index.asp" \t "_blank" </w:instrText>
      </w:r>
      <w:r w:rsidRPr="000703AC">
        <w:rPr>
          <w:rFonts w:ascii="Arial" w:eastAsia="Times New Roman" w:hAnsi="Arial" w:cs="Arial"/>
          <w:color w:val="333333"/>
          <w:sz w:val="18"/>
          <w:szCs w:val="18"/>
          <w:lang w:eastAsia="pt-BR"/>
        </w:rPr>
        <w:fldChar w:fldCharType="separate"/>
      </w:r>
      <w:proofErr w:type="gramStart"/>
      <w:r w:rsidRPr="000703AC">
        <w:rPr>
          <w:rFonts w:ascii="Arial" w:eastAsia="Times New Roman" w:hAnsi="Arial" w:cs="Arial"/>
          <w:b/>
          <w:bCs/>
          <w:color w:val="00529C"/>
          <w:sz w:val="18"/>
          <w:szCs w:val="18"/>
          <w:u w:val="single"/>
          <w:lang w:eastAsia="pt-BR"/>
        </w:rPr>
        <w:t>Cobran</w:t>
      </w:r>
      <w:r w:rsidRPr="000703AC">
        <w:rPr>
          <w:rFonts w:ascii="Arial" w:eastAsia="Times New Roman" w:hAnsi="Arial" w:cs="Arial"/>
          <w:b/>
          <w:bCs/>
          <w:color w:val="00529C"/>
          <w:sz w:val="18"/>
          <w:szCs w:val="18"/>
          <w:u w:val="single"/>
          <w:lang w:eastAsia="pt-BR"/>
        </w:rPr>
        <w:t>ç</w:t>
      </w:r>
      <w:r w:rsidRPr="000703AC">
        <w:rPr>
          <w:rFonts w:ascii="Arial" w:eastAsia="Times New Roman" w:hAnsi="Arial" w:cs="Arial"/>
          <w:b/>
          <w:bCs/>
          <w:color w:val="00529C"/>
          <w:sz w:val="18"/>
          <w:szCs w:val="18"/>
          <w:u w:val="single"/>
          <w:lang w:eastAsia="pt-BR"/>
        </w:rPr>
        <w:t>aNet</w:t>
      </w:r>
      <w:proofErr w:type="spellEnd"/>
      <w:proofErr w:type="gramEnd"/>
      <w:r w:rsidRPr="000703AC">
        <w:rPr>
          <w:rFonts w:ascii="Arial" w:eastAsia="Times New Roman" w:hAnsi="Arial" w:cs="Arial"/>
          <w:color w:val="333333"/>
          <w:sz w:val="18"/>
          <w:szCs w:val="18"/>
          <w:lang w:eastAsia="pt-BR"/>
        </w:rPr>
        <w:fldChar w:fldCharType="end"/>
      </w:r>
      <w:r>
        <w:rPr>
          <w:rFonts w:ascii="Arial" w:eastAsia="Times New Roman" w:hAnsi="Arial" w:cs="Arial"/>
          <w:color w:val="333333"/>
          <w:sz w:val="18"/>
          <w:szCs w:val="18"/>
          <w:lang w:eastAsia="pt-BR"/>
        </w:rPr>
        <w:t>.</w:t>
      </w:r>
    </w:p>
    <w:p w:rsidR="00441429" w:rsidRDefault="00441429"/>
    <w:sectPr w:rsidR="004414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031"/>
    <w:multiLevelType w:val="multilevel"/>
    <w:tmpl w:val="2246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C0056"/>
    <w:multiLevelType w:val="multilevel"/>
    <w:tmpl w:val="2C3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55A58"/>
    <w:multiLevelType w:val="multilevel"/>
    <w:tmpl w:val="3C82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600E5"/>
    <w:multiLevelType w:val="multilevel"/>
    <w:tmpl w:val="EB24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A444C"/>
    <w:multiLevelType w:val="multilevel"/>
    <w:tmpl w:val="BA9C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61603"/>
    <w:multiLevelType w:val="multilevel"/>
    <w:tmpl w:val="510E1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B00511"/>
    <w:multiLevelType w:val="multilevel"/>
    <w:tmpl w:val="0E3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820F79"/>
    <w:multiLevelType w:val="multilevel"/>
    <w:tmpl w:val="749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0"/>
  </w:num>
  <w:num w:numId="5">
    <w:abstractNumId w:val="4"/>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AC"/>
    <w:rsid w:val="000703AC"/>
    <w:rsid w:val="002B74CA"/>
    <w:rsid w:val="003E6B3D"/>
    <w:rsid w:val="00441429"/>
    <w:rsid w:val="00FE7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703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703A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703A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703AC"/>
    <w:rPr>
      <w:rFonts w:ascii="Times New Roman" w:eastAsia="Times New Roman" w:hAnsi="Times New Roman" w:cs="Times New Roman"/>
      <w:b/>
      <w:bCs/>
      <w:sz w:val="24"/>
      <w:szCs w:val="24"/>
      <w:lang w:eastAsia="pt-BR"/>
    </w:rPr>
  </w:style>
  <w:style w:type="character" w:customStyle="1" w:styleId="apple-style-span">
    <w:name w:val="apple-style-span"/>
    <w:basedOn w:val="Fontepargpadro"/>
    <w:rsid w:val="000703AC"/>
  </w:style>
  <w:style w:type="character" w:customStyle="1" w:styleId="txtconteudotitulo">
    <w:name w:val="txt_conteudo_titulo"/>
    <w:basedOn w:val="Fontepargpadro"/>
    <w:rsid w:val="000703AC"/>
  </w:style>
  <w:style w:type="paragraph" w:styleId="NormalWeb">
    <w:name w:val="Normal (Web)"/>
    <w:basedOn w:val="Normal"/>
    <w:uiPriority w:val="99"/>
    <w:semiHidden/>
    <w:unhideWhenUsed/>
    <w:rsid w:val="000703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703AC"/>
    <w:rPr>
      <w:color w:val="0000FF"/>
      <w:u w:val="single"/>
    </w:rPr>
  </w:style>
  <w:style w:type="character" w:customStyle="1" w:styleId="apple-converted-space">
    <w:name w:val="apple-converted-space"/>
    <w:basedOn w:val="Fontepargpadro"/>
    <w:rsid w:val="000703AC"/>
  </w:style>
  <w:style w:type="character" w:styleId="Forte">
    <w:name w:val="Strong"/>
    <w:basedOn w:val="Fontepargpadro"/>
    <w:uiPriority w:val="22"/>
    <w:qFormat/>
    <w:rsid w:val="000703AC"/>
    <w:rPr>
      <w:b/>
      <w:bCs/>
    </w:rPr>
  </w:style>
  <w:style w:type="character" w:styleId="nfase">
    <w:name w:val="Emphasis"/>
    <w:basedOn w:val="Fontepargpadro"/>
    <w:uiPriority w:val="20"/>
    <w:qFormat/>
    <w:rsid w:val="000703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703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703A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703A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703AC"/>
    <w:rPr>
      <w:rFonts w:ascii="Times New Roman" w:eastAsia="Times New Roman" w:hAnsi="Times New Roman" w:cs="Times New Roman"/>
      <w:b/>
      <w:bCs/>
      <w:sz w:val="24"/>
      <w:szCs w:val="24"/>
      <w:lang w:eastAsia="pt-BR"/>
    </w:rPr>
  </w:style>
  <w:style w:type="character" w:customStyle="1" w:styleId="apple-style-span">
    <w:name w:val="apple-style-span"/>
    <w:basedOn w:val="Fontepargpadro"/>
    <w:rsid w:val="000703AC"/>
  </w:style>
  <w:style w:type="character" w:customStyle="1" w:styleId="txtconteudotitulo">
    <w:name w:val="txt_conteudo_titulo"/>
    <w:basedOn w:val="Fontepargpadro"/>
    <w:rsid w:val="000703AC"/>
  </w:style>
  <w:style w:type="paragraph" w:styleId="NormalWeb">
    <w:name w:val="Normal (Web)"/>
    <w:basedOn w:val="Normal"/>
    <w:uiPriority w:val="99"/>
    <w:semiHidden/>
    <w:unhideWhenUsed/>
    <w:rsid w:val="000703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703AC"/>
    <w:rPr>
      <w:color w:val="0000FF"/>
      <w:u w:val="single"/>
    </w:rPr>
  </w:style>
  <w:style w:type="character" w:customStyle="1" w:styleId="apple-converted-space">
    <w:name w:val="apple-converted-space"/>
    <w:basedOn w:val="Fontepargpadro"/>
    <w:rsid w:val="000703AC"/>
  </w:style>
  <w:style w:type="character" w:styleId="Forte">
    <w:name w:val="Strong"/>
    <w:basedOn w:val="Fontepargpadro"/>
    <w:uiPriority w:val="22"/>
    <w:qFormat/>
    <w:rsid w:val="000703AC"/>
    <w:rPr>
      <w:b/>
      <w:bCs/>
    </w:rPr>
  </w:style>
  <w:style w:type="character" w:styleId="nfase">
    <w:name w:val="Emphasis"/>
    <w:basedOn w:val="Fontepargpadro"/>
    <w:uiPriority w:val="20"/>
    <w:qFormat/>
    <w:rsid w:val="00070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26044">
      <w:bodyDiv w:val="1"/>
      <w:marLeft w:val="0"/>
      <w:marRight w:val="0"/>
      <w:marTop w:val="0"/>
      <w:marBottom w:val="0"/>
      <w:divBdr>
        <w:top w:val="none" w:sz="0" w:space="0" w:color="auto"/>
        <w:left w:val="none" w:sz="0" w:space="0" w:color="auto"/>
        <w:bottom w:val="none" w:sz="0" w:space="0" w:color="auto"/>
        <w:right w:val="none" w:sz="0" w:space="0" w:color="auto"/>
      </w:divBdr>
      <w:divsChild>
        <w:div w:id="1825929533">
          <w:marLeft w:val="0"/>
          <w:marRight w:val="0"/>
          <w:marTop w:val="0"/>
          <w:marBottom w:val="0"/>
          <w:divBdr>
            <w:top w:val="none" w:sz="0" w:space="15" w:color="auto"/>
            <w:left w:val="none" w:sz="0" w:space="15" w:color="auto"/>
            <w:bottom w:val="none" w:sz="0" w:space="0" w:color="auto"/>
            <w:right w:val="none" w:sz="0" w:space="0" w:color="auto"/>
          </w:divBdr>
        </w:div>
        <w:div w:id="1113478866">
          <w:marLeft w:val="0"/>
          <w:marRight w:val="0"/>
          <w:marTop w:val="0"/>
          <w:marBottom w:val="0"/>
          <w:divBdr>
            <w:top w:val="none" w:sz="0" w:space="0" w:color="auto"/>
            <w:left w:val="none" w:sz="0" w:space="15" w:color="auto"/>
            <w:bottom w:val="none" w:sz="0" w:space="0" w:color="auto"/>
            <w:right w:val="none" w:sz="0" w:space="0" w:color="auto"/>
          </w:divBdr>
          <w:divsChild>
            <w:div w:id="1473448997">
              <w:marLeft w:val="0"/>
              <w:marRight w:val="0"/>
              <w:marTop w:val="300"/>
              <w:marBottom w:val="0"/>
              <w:divBdr>
                <w:top w:val="dotted" w:sz="6" w:space="11" w:color="CCCCCC"/>
                <w:left w:val="none" w:sz="0" w:space="8" w:color="auto"/>
                <w:bottom w:val="dotted" w:sz="6" w:space="2" w:color="CCCCCC"/>
                <w:right w:val="none" w:sz="0" w:space="2"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ndes.gov.br/SiteBNDES/bndes/bndes_pt/Ferramentas_e_Normas/Credenciamento_de_Equipamentos/index.html" TargetMode="External"/><Relationship Id="rId13" Type="http://schemas.openxmlformats.org/officeDocument/2006/relationships/hyperlink" Target="http://www.bndes.gov.br/SiteBNDES/bndes/bndes_pt/Institucional/Apoio_Financeiro/Custos_Financeiros/Taxa_de_Juros_de_Longo_Prazo_TJLP/index.html" TargetMode="External"/><Relationship Id="rId18" Type="http://schemas.openxmlformats.org/officeDocument/2006/relationships/hyperlink" Target="http://www.bndes.gov.br/SiteBNDES/export/sites/default/bndes_pt/Galerias/Arquivos/produtos/download/PEF_PMAT_AnexoI.doc"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bndes.gov.br/SiteBNDES/bndes/bndes_pt/Institucional/Apoio_Financeiro/Politicas_Transversais/politica_entorno_projetos.html" TargetMode="External"/><Relationship Id="rId12" Type="http://schemas.openxmlformats.org/officeDocument/2006/relationships/hyperlink" Target="http://www.bndes.gov.br/SiteBNDES/bndes/bndes_pt/Institucional/Apoio_Financeiro/Produtos/FINEM/index.html" TargetMode="External"/><Relationship Id="rId17" Type="http://schemas.openxmlformats.org/officeDocument/2006/relationships/hyperlink" Target="http://www.bndes.gov.br/SiteBNDES/bndes/bndes_pt/Institucional/Apoio_Financeiro/Produtos/FINEM/roteiro.html" TargetMode="External"/><Relationship Id="rId2" Type="http://schemas.openxmlformats.org/officeDocument/2006/relationships/styles" Target="styles.xml"/><Relationship Id="rId16" Type="http://schemas.openxmlformats.org/officeDocument/2006/relationships/hyperlink" Target="http://sitebndes/export/sites/default/bndes_pt/Galerias/Arquivos/produtos/download/roteiros/roteiro_indiretas_nao_automaticas_SetorPublico.doc" TargetMode="External"/><Relationship Id="rId20" Type="http://schemas.openxmlformats.org/officeDocument/2006/relationships/hyperlink" Target="http://www.bndes.gov.br/SiteBNDES/bndes/bndes_pt/Navegacao_Suplementar/Perfil/Instituicao_Financeira_Credenciada/instituicoes.html" TargetMode="External"/><Relationship Id="rId1" Type="http://schemas.openxmlformats.org/officeDocument/2006/relationships/numbering" Target="numbering.xml"/><Relationship Id="rId6" Type="http://schemas.openxmlformats.org/officeDocument/2006/relationships/hyperlink" Target="http://www.bndes.gov.br/SiteBNDES/bndes/bndes_pt/Institucional/Apoio_Financeiro/Programas_e_Fundos/PMAT/pmat_automatico.html" TargetMode="External"/><Relationship Id="rId11" Type="http://schemas.openxmlformats.org/officeDocument/2006/relationships/hyperlink" Target="http://www.bndes.gov.br/SiteBNDES/bndes/bndes_pt/Institucional/Apoio_Financeiro/Programas_e_Fundos/Prosoft/prosoft_comercializacao.html" TargetMode="External"/><Relationship Id="rId5" Type="http://schemas.openxmlformats.org/officeDocument/2006/relationships/webSettings" Target="webSettings.xml"/><Relationship Id="rId15" Type="http://schemas.openxmlformats.org/officeDocument/2006/relationships/hyperlink" Target="http://www.bndes.gov.br/SiteBNDES/bndes/bndes_pt/Navegacao_Suplementar/Perfil/Instituicao_Financeira_Credenciada/instituicoes.html" TargetMode="External"/><Relationship Id="rId10" Type="http://schemas.openxmlformats.org/officeDocument/2006/relationships/hyperlink" Target="http://www.comprasnet.gov.br/legislacao/portarias/p07_06.htm" TargetMode="External"/><Relationship Id="rId19" Type="http://schemas.openxmlformats.org/officeDocument/2006/relationships/hyperlink" Target="http://www.bndes.gov.br/SiteBNDES/export/sites/default/bndes_pt/Galerias/Arquivos/produtos/download/PEF_PMAT_AnexoII.doc" TargetMode="External"/><Relationship Id="rId4" Type="http://schemas.openxmlformats.org/officeDocument/2006/relationships/settings" Target="settings.xml"/><Relationship Id="rId9" Type="http://schemas.openxmlformats.org/officeDocument/2006/relationships/hyperlink" Target="http://www.planalto.gov.br/ccivil_03/Leis/L8248compilado.htm" TargetMode="External"/><Relationship Id="rId14" Type="http://schemas.openxmlformats.org/officeDocument/2006/relationships/hyperlink" Target="http://www.bndes.gov.br/SiteBNDES/bndes/bndes_pt/Navegacao_Suplementar/Perfil/Instituicao_Financeira_Credenciada/instituicoes.htm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1921</Words>
  <Characters>10379</Characters>
  <Application>Microsoft Office Word</Application>
  <DocSecurity>0</DocSecurity>
  <Lines>86</Lines>
  <Paragraphs>24</Paragraphs>
  <ScaleCrop>false</ScaleCrop>
  <Company>MEC</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Dani</dc:creator>
  <cp:keywords/>
  <dc:description/>
  <cp:lastModifiedBy>Adriano Dani</cp:lastModifiedBy>
  <cp:revision>5</cp:revision>
  <dcterms:created xsi:type="dcterms:W3CDTF">2011-09-22T20:03:00Z</dcterms:created>
  <dcterms:modified xsi:type="dcterms:W3CDTF">2011-09-22T20:17:00Z</dcterms:modified>
</cp:coreProperties>
</file>