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00D" w:rsidRPr="0035100D" w:rsidRDefault="0035100D" w:rsidP="0035100D">
      <w:pPr>
        <w:rPr>
          <w:rFonts w:ascii="Arial" w:hAnsi="Arial" w:cs="Arial"/>
          <w:sz w:val="20"/>
          <w:szCs w:val="20"/>
          <w:lang w:val="pt-PT"/>
        </w:rPr>
      </w:pPr>
      <w:bookmarkStart w:id="0" w:name="_GoBack"/>
      <w:bookmarkEnd w:id="0"/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 xml:space="preserve">Programa BNDES de Modernização da Administração Tributária e da Gestão dos Setores </w:t>
      </w:r>
      <w:proofErr w:type="gramStart"/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Sociais Básicos Automático</w:t>
      </w:r>
      <w:proofErr w:type="gramEnd"/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 xml:space="preserve"> – BNDES PMAT Automático </w:t>
      </w:r>
    </w:p>
    <w:p w:rsidR="0035100D" w:rsidRPr="0035100D" w:rsidRDefault="0035100D" w:rsidP="0035100D">
      <w:pPr>
        <w:rPr>
          <w:rFonts w:ascii="Arial" w:hAnsi="Arial" w:cs="Arial"/>
          <w:sz w:val="20"/>
          <w:szCs w:val="20"/>
          <w:lang w:val="pt-PT"/>
        </w:rPr>
      </w:pPr>
    </w:p>
    <w:p w:rsidR="0035100D" w:rsidRPr="0035100D" w:rsidRDefault="0035100D" w:rsidP="0035100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Objetivo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Apoio a projetos de investimentos voltados à melhoria da eficiência, qualidade e transparência da gestão pública, visando à modernização da administração tributária e melhoria da qualidade do gasto público. Busca-se, assim, proporcionar aos municípios uma gestão eficiente de recursos, em especial por meio do aumento das receitas e da redução do custo unitário dos serviços com administração geral, saúde e educação.</w:t>
      </w:r>
    </w:p>
    <w:p w:rsidR="0035100D" w:rsidRPr="0035100D" w:rsidRDefault="0035100D" w:rsidP="0035100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Clientes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Municípios brasileiros com até 150 mil habitantes, devendo ser observados os contingentes populacionais divulgados pelo </w:t>
      </w:r>
      <w:hyperlink r:id="rId6" w:tgtFrame="_blank" w:history="1">
        <w:r w:rsidRPr="0035100D">
          <w:rPr>
            <w:rFonts w:ascii="Arial" w:hAnsi="Arial" w:cs="Arial"/>
            <w:b/>
            <w:bCs/>
            <w:color w:val="00529C"/>
            <w:sz w:val="20"/>
            <w:szCs w:val="20"/>
            <w:lang w:val="pt-PT"/>
          </w:rPr>
          <w:t>IBGE</w:t>
        </w:r>
      </w:hyperlink>
      <w:r w:rsidRPr="0035100D">
        <w:rPr>
          <w:rFonts w:ascii="Arial" w:hAnsi="Arial" w:cs="Arial"/>
          <w:color w:val="333333"/>
          <w:sz w:val="20"/>
          <w:szCs w:val="20"/>
          <w:lang w:val="pt-PT"/>
        </w:rPr>
        <w:t>.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Municípios com população superior a 150 mil habitantes devem utilizar a linha de financiamento </w:t>
      </w:r>
      <w:hyperlink r:id="rId7" w:tgtFrame="_self" w:history="1">
        <w:r w:rsidRPr="0035100D">
          <w:rPr>
            <w:rFonts w:ascii="Arial" w:hAnsi="Arial" w:cs="Arial"/>
            <w:b/>
            <w:bCs/>
            <w:color w:val="00529C"/>
            <w:sz w:val="20"/>
            <w:szCs w:val="20"/>
            <w:lang w:val="pt-PT"/>
          </w:rPr>
          <w:t>BNDES</w:t>
        </w:r>
        <w:r w:rsidRPr="0035100D">
          <w:rPr>
            <w:rFonts w:ascii="Arial" w:hAnsi="Arial" w:cs="Arial"/>
            <w:b/>
            <w:bCs/>
            <w:color w:val="00529C"/>
            <w:sz w:val="20"/>
            <w:szCs w:val="20"/>
            <w:lang w:val="pt-PT"/>
          </w:rPr>
          <w:t xml:space="preserve"> </w:t>
        </w:r>
        <w:r w:rsidRPr="0035100D">
          <w:rPr>
            <w:rFonts w:ascii="Arial" w:hAnsi="Arial" w:cs="Arial"/>
            <w:b/>
            <w:bCs/>
            <w:color w:val="00529C"/>
            <w:sz w:val="20"/>
            <w:szCs w:val="20"/>
            <w:lang w:val="pt-PT"/>
          </w:rPr>
          <w:t>PMAT</w:t>
        </w:r>
      </w:hyperlink>
      <w:r w:rsidRPr="0035100D">
        <w:rPr>
          <w:rFonts w:ascii="Arial" w:hAnsi="Arial" w:cs="Arial"/>
          <w:color w:val="333333"/>
          <w:sz w:val="20"/>
          <w:szCs w:val="20"/>
          <w:lang w:val="pt-PT"/>
        </w:rPr>
        <w:t>.</w:t>
      </w:r>
    </w:p>
    <w:p w:rsidR="0035100D" w:rsidRPr="0035100D" w:rsidRDefault="0035100D" w:rsidP="0035100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Empreendimentos apoiáveis</w:t>
      </w:r>
      <w:proofErr w:type="gramEnd"/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Poderão ser financiados projetos de investimentos (mais detalhes abaixo, em "Itens financiáveis") para o fortalecimento das capacidades gerencial, </w:t>
      </w:r>
      <w:r w:rsidRPr="0035100D">
        <w:rPr>
          <w:rFonts w:ascii="Arial" w:hAnsi="Arial" w:cs="Arial"/>
          <w:sz w:val="20"/>
          <w:szCs w:val="20"/>
          <w:lang w:val="pt-PT"/>
        </w:rPr>
        <w:t>normativa</w:t>
      </w:r>
      <w:r w:rsidRPr="0035100D">
        <w:rPr>
          <w:rFonts w:ascii="Arial" w:hAnsi="Arial" w:cs="Arial"/>
          <w:color w:val="333333"/>
          <w:sz w:val="20"/>
          <w:szCs w:val="20"/>
          <w:lang w:val="pt-PT"/>
        </w:rPr>
        <w:t>, operacional e tecnológica da administração municipal, desde que vinculados às áreas e suas ações abaixo relacionadas:</w:t>
      </w:r>
    </w:p>
    <w:tbl>
      <w:tblPr>
        <w:tblW w:w="47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99"/>
        <w:gridCol w:w="5813"/>
      </w:tblGrid>
      <w:tr w:rsidR="0035100D" w:rsidRPr="0035100D" w:rsidTr="00195668">
        <w:trPr>
          <w:tblCellSpacing w:w="15" w:type="dxa"/>
        </w:trPr>
        <w:tc>
          <w:tcPr>
            <w:tcW w:w="0" w:type="auto"/>
            <w:shd w:val="clear" w:color="auto" w:fill="51614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5100D" w:rsidRPr="0035100D" w:rsidRDefault="0035100D" w:rsidP="00195668">
            <w:pPr>
              <w:spacing w:line="312" w:lineRule="atLeast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35100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Área da administração</w:t>
            </w:r>
          </w:p>
        </w:tc>
        <w:tc>
          <w:tcPr>
            <w:tcW w:w="0" w:type="auto"/>
            <w:shd w:val="clear" w:color="auto" w:fill="51614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5100D" w:rsidRPr="0035100D" w:rsidRDefault="0035100D" w:rsidP="00195668">
            <w:pPr>
              <w:spacing w:line="312" w:lineRule="atLeast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35100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Ações</w:t>
            </w:r>
          </w:p>
        </w:tc>
      </w:tr>
      <w:tr w:rsidR="0035100D" w:rsidRPr="0035100D" w:rsidTr="00195668">
        <w:trPr>
          <w:tblCellSpacing w:w="15" w:type="dxa"/>
        </w:trPr>
        <w:tc>
          <w:tcPr>
            <w:tcW w:w="0" w:type="auto"/>
            <w:shd w:val="clear" w:color="auto" w:fill="ECE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5100D" w:rsidRPr="0035100D" w:rsidRDefault="0035100D" w:rsidP="0019566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5100D">
              <w:rPr>
                <w:rFonts w:ascii="Arial" w:hAnsi="Arial" w:cs="Arial"/>
                <w:color w:val="FF0000"/>
                <w:sz w:val="20"/>
                <w:szCs w:val="20"/>
              </w:rPr>
              <w:t>Administração Geral</w:t>
            </w:r>
          </w:p>
        </w:tc>
        <w:tc>
          <w:tcPr>
            <w:tcW w:w="0" w:type="auto"/>
            <w:shd w:val="clear" w:color="auto" w:fill="ECE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5100D" w:rsidRPr="0035100D" w:rsidRDefault="0035100D" w:rsidP="0019566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5100D">
              <w:rPr>
                <w:rFonts w:ascii="Arial" w:hAnsi="Arial" w:cs="Arial"/>
                <w:color w:val="FF0000"/>
                <w:sz w:val="20"/>
                <w:szCs w:val="20"/>
              </w:rPr>
              <w:t xml:space="preserve"> Gestão de recursos humanos, licitações e compras, gestão de contratos, protocolo e controle de processos, gestão </w:t>
            </w:r>
            <w:proofErr w:type="gramStart"/>
            <w:r w:rsidRPr="0035100D">
              <w:rPr>
                <w:rFonts w:ascii="Arial" w:hAnsi="Arial" w:cs="Arial"/>
                <w:color w:val="FF0000"/>
                <w:sz w:val="20"/>
                <w:szCs w:val="20"/>
              </w:rPr>
              <w:t>energética</w:t>
            </w:r>
            <w:proofErr w:type="gramEnd"/>
          </w:p>
        </w:tc>
      </w:tr>
      <w:tr w:rsidR="0035100D" w:rsidRPr="0035100D" w:rsidTr="00195668">
        <w:trPr>
          <w:tblCellSpacing w:w="15" w:type="dxa"/>
        </w:trPr>
        <w:tc>
          <w:tcPr>
            <w:tcW w:w="0" w:type="auto"/>
            <w:shd w:val="clear" w:color="auto" w:fill="ECE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5100D" w:rsidRPr="0035100D" w:rsidRDefault="0035100D" w:rsidP="0019566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5100D">
              <w:rPr>
                <w:rFonts w:ascii="Arial" w:hAnsi="Arial" w:cs="Arial"/>
                <w:color w:val="FF0000"/>
                <w:sz w:val="20"/>
                <w:szCs w:val="20"/>
              </w:rPr>
              <w:t>Administração Tributária</w:t>
            </w:r>
          </w:p>
        </w:tc>
        <w:tc>
          <w:tcPr>
            <w:tcW w:w="0" w:type="auto"/>
            <w:shd w:val="clear" w:color="auto" w:fill="ECE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5100D" w:rsidRPr="0035100D" w:rsidRDefault="0035100D" w:rsidP="0019566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5100D">
              <w:rPr>
                <w:rFonts w:ascii="Arial" w:hAnsi="Arial" w:cs="Arial"/>
                <w:color w:val="FF0000"/>
                <w:sz w:val="20"/>
                <w:szCs w:val="20"/>
              </w:rPr>
              <w:t xml:space="preserve">Arrecadação, cobranças administrativa e judicial, fiscalização, estudos econômicos e tributários, central de atendimento ao </w:t>
            </w:r>
            <w:proofErr w:type="gramStart"/>
            <w:r w:rsidRPr="0035100D">
              <w:rPr>
                <w:rFonts w:ascii="Arial" w:hAnsi="Arial" w:cs="Arial"/>
                <w:color w:val="FF0000"/>
                <w:sz w:val="20"/>
                <w:szCs w:val="20"/>
              </w:rPr>
              <w:t>contribuinte</w:t>
            </w:r>
            <w:proofErr w:type="gramEnd"/>
          </w:p>
        </w:tc>
      </w:tr>
      <w:tr w:rsidR="0035100D" w:rsidRPr="0035100D" w:rsidTr="00195668">
        <w:trPr>
          <w:tblCellSpacing w:w="15" w:type="dxa"/>
        </w:trPr>
        <w:tc>
          <w:tcPr>
            <w:tcW w:w="0" w:type="auto"/>
            <w:shd w:val="clear" w:color="auto" w:fill="ECE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5100D" w:rsidRPr="0035100D" w:rsidRDefault="0035100D" w:rsidP="0019566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5100D">
              <w:rPr>
                <w:rFonts w:ascii="Arial" w:hAnsi="Arial" w:cs="Arial"/>
                <w:color w:val="FF0000"/>
                <w:sz w:val="20"/>
                <w:szCs w:val="20"/>
              </w:rPr>
              <w:t>Administração Financeira e Patrimonial</w:t>
            </w:r>
          </w:p>
        </w:tc>
        <w:tc>
          <w:tcPr>
            <w:tcW w:w="0" w:type="auto"/>
            <w:shd w:val="clear" w:color="auto" w:fill="ECE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5100D" w:rsidRPr="0035100D" w:rsidRDefault="0035100D" w:rsidP="0019566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5100D">
              <w:rPr>
                <w:rFonts w:ascii="Arial" w:hAnsi="Arial" w:cs="Arial"/>
                <w:color w:val="FF0000"/>
                <w:sz w:val="20"/>
                <w:szCs w:val="20"/>
              </w:rPr>
              <w:t xml:space="preserve">Orçamento, execução financeira, contabilidade e dívida pública, auditoria e controle interno, gestão e segurança do </w:t>
            </w:r>
            <w:proofErr w:type="gramStart"/>
            <w:r w:rsidRPr="0035100D">
              <w:rPr>
                <w:rFonts w:ascii="Arial" w:hAnsi="Arial" w:cs="Arial"/>
                <w:color w:val="FF0000"/>
                <w:sz w:val="20"/>
                <w:szCs w:val="20"/>
              </w:rPr>
              <w:t>patrimônio</w:t>
            </w:r>
            <w:proofErr w:type="gramEnd"/>
          </w:p>
        </w:tc>
      </w:tr>
      <w:tr w:rsidR="0035100D" w:rsidRPr="0035100D" w:rsidTr="00195668">
        <w:trPr>
          <w:tblCellSpacing w:w="15" w:type="dxa"/>
        </w:trPr>
        <w:tc>
          <w:tcPr>
            <w:tcW w:w="0" w:type="auto"/>
            <w:shd w:val="clear" w:color="auto" w:fill="ECE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5100D" w:rsidRPr="0035100D" w:rsidRDefault="0035100D" w:rsidP="0019566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00D">
              <w:rPr>
                <w:rFonts w:ascii="Arial" w:hAnsi="Arial" w:cs="Arial"/>
                <w:color w:val="000000"/>
                <w:sz w:val="20"/>
                <w:szCs w:val="20"/>
              </w:rPr>
              <w:t>Administração da Saúde e da Educação</w:t>
            </w:r>
          </w:p>
        </w:tc>
        <w:tc>
          <w:tcPr>
            <w:tcW w:w="0" w:type="auto"/>
            <w:shd w:val="clear" w:color="auto" w:fill="ECE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5100D" w:rsidRPr="0035100D" w:rsidRDefault="0035100D" w:rsidP="0019566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00D"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Organização e gerência, sistemas e tecnologia de </w:t>
            </w:r>
            <w:proofErr w:type="gramStart"/>
            <w:r w:rsidRPr="0035100D">
              <w:rPr>
                <w:rFonts w:ascii="Arial" w:hAnsi="Arial" w:cs="Arial"/>
                <w:color w:val="000000"/>
                <w:sz w:val="20"/>
                <w:szCs w:val="20"/>
              </w:rPr>
              <w:t>informação</w:t>
            </w:r>
            <w:proofErr w:type="gramEnd"/>
          </w:p>
        </w:tc>
      </w:tr>
    </w:tbl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Também poderão ser financiadas, desde que vinculadas a uma das quatro áreas enunciadas, as seguintes ações:</w:t>
      </w:r>
    </w:p>
    <w:p w:rsidR="0035100D" w:rsidRPr="0035100D" w:rsidRDefault="0035100D" w:rsidP="0035100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planejamento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, organização e gestão;</w:t>
      </w:r>
    </w:p>
    <w:p w:rsidR="0035100D" w:rsidRPr="0035100D" w:rsidRDefault="0035100D" w:rsidP="0035100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legislação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;</w:t>
      </w:r>
    </w:p>
    <w:p w:rsidR="0035100D" w:rsidRPr="0035100D" w:rsidRDefault="0035100D" w:rsidP="0035100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sistemas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e tecnologia de informação;</w:t>
      </w:r>
    </w:p>
    <w:p w:rsidR="0035100D" w:rsidRPr="0035100D" w:rsidRDefault="0035100D" w:rsidP="0035100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central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de atendimento ao cidadão;</w:t>
      </w:r>
    </w:p>
    <w:p w:rsidR="0035100D" w:rsidRPr="0035100D" w:rsidRDefault="0035100D" w:rsidP="0035100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cadastros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;</w:t>
      </w:r>
    </w:p>
    <w:p w:rsidR="0035100D" w:rsidRPr="0035100D" w:rsidRDefault="0035100D" w:rsidP="0035100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georreferenciamento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;</w:t>
      </w:r>
    </w:p>
    <w:p w:rsidR="0035100D" w:rsidRPr="0035100D" w:rsidRDefault="0035100D" w:rsidP="0035100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relações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intra e interinstitucionais; e</w:t>
      </w:r>
    </w:p>
    <w:p w:rsidR="0035100D" w:rsidRPr="0035100D" w:rsidRDefault="0035100D" w:rsidP="0035100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integração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de informações municipais, tanto na esfera intramunicipal quanto no intercâmbio de informações com os órgãos federais e estaduais.</w:t>
      </w:r>
      <w:r w:rsidRPr="0035100D">
        <w:rPr>
          <w:rFonts w:ascii="Arial" w:hAnsi="Arial" w:cs="Arial"/>
          <w:color w:val="333333"/>
          <w:sz w:val="20"/>
          <w:szCs w:val="20"/>
          <w:lang w:val="pt-PT"/>
        </w:rPr>
        <w:br/>
        <w:t> </w:t>
      </w:r>
    </w:p>
    <w:p w:rsidR="0035100D" w:rsidRPr="0035100D" w:rsidRDefault="0035100D" w:rsidP="0035100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Itens financiáveis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lastRenderedPageBreak/>
        <w:t xml:space="preserve">São passíveis de financiamento os itens a seguir relacionados, não isoladamente, e desde que associados aos empreendimentos </w:t>
      </w: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apoiáveis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estabelecidos na seção anterior:</w:t>
      </w:r>
    </w:p>
    <w:p w:rsidR="0035100D" w:rsidRPr="0035100D" w:rsidRDefault="0035100D" w:rsidP="0035100D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obras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civis, montagem e instalações;</w:t>
      </w:r>
    </w:p>
    <w:p w:rsidR="0035100D" w:rsidRPr="0035100D" w:rsidRDefault="0035100D" w:rsidP="0035100D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máquinas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e equipamentos novos, incluídos os conjuntos e sistemas industriais, produzidos no País e constantes do </w:t>
      </w:r>
      <w:hyperlink r:id="rId8" w:anchor="credenciamento" w:history="1">
        <w:r w:rsidRPr="0035100D">
          <w:rPr>
            <w:rFonts w:ascii="Arial" w:hAnsi="Arial" w:cs="Arial"/>
            <w:b/>
            <w:bCs/>
            <w:color w:val="00529C"/>
            <w:sz w:val="20"/>
            <w:szCs w:val="20"/>
            <w:lang w:val="pt-PT"/>
          </w:rPr>
          <w:t>Credenciamento de Fabricantes Informatizado – CFI do BNDES</w:t>
        </w:r>
      </w:hyperlink>
      <w:r w:rsidRPr="0035100D">
        <w:rPr>
          <w:rFonts w:ascii="Arial" w:hAnsi="Arial" w:cs="Arial"/>
          <w:color w:val="333333"/>
          <w:sz w:val="20"/>
          <w:szCs w:val="20"/>
          <w:lang w:val="pt-PT"/>
        </w:rPr>
        <w:t>, incluídos:</w:t>
      </w:r>
    </w:p>
    <w:p w:rsidR="0035100D" w:rsidRPr="0035100D" w:rsidRDefault="0035100D" w:rsidP="0035100D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equipamentos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de informática: microcomputadores, estabilizadores, nobreaks, impressoras, roteadores, scanners, hubs, switchs, thin clients, projetor multimídia, servidores, notebooks, antenas de rádio transmissão, estações rádio base;</w:t>
      </w:r>
    </w:p>
    <w:p w:rsidR="0035100D" w:rsidRPr="0035100D" w:rsidRDefault="0035100D" w:rsidP="0035100D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FF0000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FF0000"/>
          <w:sz w:val="20"/>
          <w:szCs w:val="20"/>
          <w:lang w:val="pt-PT"/>
        </w:rPr>
        <w:t>equipamentos</w:t>
      </w:r>
      <w:proofErr w:type="gramEnd"/>
      <w:r w:rsidRPr="0035100D">
        <w:rPr>
          <w:rFonts w:ascii="Arial" w:hAnsi="Arial" w:cs="Arial"/>
          <w:color w:val="FF0000"/>
          <w:sz w:val="20"/>
          <w:szCs w:val="20"/>
          <w:lang w:val="pt-PT"/>
        </w:rPr>
        <w:t xml:space="preserve"> de apoio à operação e à fiscalização: rádio-comunicadores, leitoras de cartão, totens de atendimento; </w:t>
      </w:r>
    </w:p>
    <w:p w:rsidR="0035100D" w:rsidRPr="0035100D" w:rsidRDefault="0035100D" w:rsidP="0035100D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bens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de informática e automação, abarcados pela </w:t>
      </w:r>
      <w:hyperlink r:id="rId9" w:tgtFrame="_blank" w:history="1">
        <w:r w:rsidRPr="0035100D">
          <w:rPr>
            <w:rFonts w:ascii="Arial" w:hAnsi="Arial" w:cs="Arial"/>
            <w:b/>
            <w:bCs/>
            <w:color w:val="00529C"/>
            <w:sz w:val="20"/>
            <w:szCs w:val="20"/>
            <w:lang w:val="pt-PT"/>
          </w:rPr>
          <w:t>Lei nº 8.248 (Lei de Informática), de 23.10.1991</w:t>
        </w:r>
      </w:hyperlink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, que cumpram o Processo Produtivo Básico (PPB) e possuam tecnologia nacional na forma da </w:t>
      </w:r>
      <w:hyperlink r:id="rId10" w:tgtFrame="_blank" w:history="1">
        <w:r w:rsidRPr="0035100D">
          <w:rPr>
            <w:rFonts w:ascii="Arial" w:hAnsi="Arial" w:cs="Arial"/>
            <w:b/>
            <w:bCs/>
            <w:color w:val="00529C"/>
            <w:sz w:val="20"/>
            <w:szCs w:val="20"/>
            <w:lang w:val="pt-PT"/>
          </w:rPr>
          <w:t>Portaria MCT nº 950, de 12.12.2006</w:t>
        </w:r>
      </w:hyperlink>
      <w:r w:rsidRPr="0035100D">
        <w:rPr>
          <w:rFonts w:ascii="Arial" w:hAnsi="Arial" w:cs="Arial"/>
          <w:color w:val="333333"/>
          <w:sz w:val="20"/>
          <w:szCs w:val="20"/>
          <w:lang w:val="pt-PT"/>
        </w:rPr>
        <w:t>, ou da que venha a substituí-la;</w:t>
      </w:r>
    </w:p>
    <w:p w:rsidR="0035100D" w:rsidRPr="0035100D" w:rsidRDefault="0035100D" w:rsidP="0035100D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móveis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e utensílios;</w:t>
      </w:r>
    </w:p>
    <w:p w:rsidR="0035100D" w:rsidRPr="0035100D" w:rsidRDefault="0035100D" w:rsidP="0035100D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softwares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nacionais, passíveis de apoio no âmbito do programa </w:t>
      </w:r>
      <w:hyperlink r:id="rId11" w:tgtFrame="_self" w:history="1">
        <w:r w:rsidRPr="0035100D">
          <w:rPr>
            <w:rFonts w:ascii="Arial" w:hAnsi="Arial" w:cs="Arial"/>
            <w:b/>
            <w:bCs/>
            <w:color w:val="00529C"/>
            <w:sz w:val="20"/>
            <w:szCs w:val="20"/>
            <w:lang w:val="pt-PT"/>
          </w:rPr>
          <w:t>BNDES Prosoft – Comercialização</w:t>
        </w:r>
      </w:hyperlink>
      <w:r w:rsidRPr="0035100D">
        <w:rPr>
          <w:rFonts w:ascii="Arial" w:hAnsi="Arial" w:cs="Arial"/>
          <w:color w:val="333333"/>
          <w:sz w:val="20"/>
          <w:szCs w:val="20"/>
          <w:lang w:val="pt-PT"/>
        </w:rPr>
        <w:t>, incluindo customização;</w:t>
      </w:r>
    </w:p>
    <w:p w:rsidR="0035100D" w:rsidRPr="0035100D" w:rsidRDefault="0035100D" w:rsidP="0035100D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FF0000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FF0000"/>
          <w:sz w:val="20"/>
          <w:szCs w:val="20"/>
          <w:lang w:val="pt-PT"/>
        </w:rPr>
        <w:t>motocicletas</w:t>
      </w:r>
      <w:proofErr w:type="gramEnd"/>
      <w:r w:rsidRPr="0035100D">
        <w:rPr>
          <w:rFonts w:ascii="Arial" w:hAnsi="Arial" w:cs="Arial"/>
          <w:color w:val="FF0000"/>
          <w:sz w:val="20"/>
          <w:szCs w:val="20"/>
          <w:lang w:val="pt-PT"/>
        </w:rPr>
        <w:t xml:space="preserve"> de até 300 cilindradas e automóveis de passeio com motorização de até 1.0, desde que exclusivamente voltados para atividades de fiscalização da área de administração tributária, em quantidade total limitada a 25% do número de servidores públicos efetivos que, comprovadamente, exerçam a função de fiscal, e com valor total limitado a 10% do valor total do financiamento;</w:t>
      </w:r>
    </w:p>
    <w:p w:rsidR="0035100D" w:rsidRPr="0035100D" w:rsidRDefault="0035100D" w:rsidP="0035100D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FF0000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FF0000"/>
          <w:sz w:val="20"/>
          <w:szCs w:val="20"/>
          <w:lang w:val="pt-PT"/>
        </w:rPr>
        <w:t>capacitação</w:t>
      </w:r>
      <w:proofErr w:type="gramEnd"/>
      <w:r w:rsidRPr="0035100D">
        <w:rPr>
          <w:rFonts w:ascii="Arial" w:hAnsi="Arial" w:cs="Arial"/>
          <w:color w:val="FF0000"/>
          <w:sz w:val="20"/>
          <w:szCs w:val="20"/>
          <w:lang w:val="pt-PT"/>
        </w:rPr>
        <w:t xml:space="preserve"> técnica e gerencial de servidores públicos efetivos do cliente, limitada a 25% do valor total do financiamento;</w:t>
      </w:r>
    </w:p>
    <w:p w:rsidR="0035100D" w:rsidRPr="0035100D" w:rsidRDefault="0035100D" w:rsidP="0035100D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FF0000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FF0000"/>
          <w:sz w:val="20"/>
          <w:szCs w:val="20"/>
          <w:lang w:val="pt-PT"/>
        </w:rPr>
        <w:t>gastos</w:t>
      </w:r>
      <w:proofErr w:type="gramEnd"/>
      <w:r w:rsidRPr="0035100D">
        <w:rPr>
          <w:rFonts w:ascii="Arial" w:hAnsi="Arial" w:cs="Arial"/>
          <w:color w:val="FF0000"/>
          <w:sz w:val="20"/>
          <w:szCs w:val="20"/>
          <w:lang w:val="pt-PT"/>
        </w:rPr>
        <w:t xml:space="preserve"> com Qualidade e Produtividade, Pesquisa e Desenvolvimento, estudos e projetos de engenharia relacionados ao investimento, limitados a 20% do valor total do financiamento;</w:t>
      </w:r>
    </w:p>
    <w:p w:rsidR="0035100D" w:rsidRPr="0035100D" w:rsidRDefault="0035100D" w:rsidP="0035100D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gastos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com atualização de cadastros e Tecnologia da Informação, limitados a 35% do valor total do financiamento.</w:t>
      </w:r>
    </w:p>
    <w:p w:rsidR="0035100D" w:rsidRPr="0035100D" w:rsidRDefault="0035100D" w:rsidP="0035100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Itens não financiáveis</w:t>
      </w:r>
    </w:p>
    <w:p w:rsidR="0035100D" w:rsidRPr="0035100D" w:rsidRDefault="0035100D" w:rsidP="0035100D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Obras civis, montagem, instalações e reaparelhamento de: escolas, unidades de saúde e de assistência;</w:t>
      </w:r>
    </w:p>
    <w:p w:rsidR="0035100D" w:rsidRPr="0035100D" w:rsidRDefault="0035100D" w:rsidP="0035100D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Obras de infraestrutura não voltadas para o alcance do objetivo do Programa;</w:t>
      </w:r>
    </w:p>
    <w:p w:rsidR="0035100D" w:rsidRPr="0035100D" w:rsidRDefault="0035100D" w:rsidP="0035100D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Programas de desligamento de servidores;</w:t>
      </w:r>
    </w:p>
    <w:p w:rsidR="0035100D" w:rsidRPr="0035100D" w:rsidRDefault="0035100D" w:rsidP="0035100D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Aquisição ou arrendamento de bens imóveis e benfeitorias;</w:t>
      </w:r>
    </w:p>
    <w:p w:rsidR="0035100D" w:rsidRPr="0035100D" w:rsidRDefault="0035100D" w:rsidP="0035100D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Aquisição de máquinas e equipamentos usados;</w:t>
      </w:r>
    </w:p>
    <w:p w:rsidR="0035100D" w:rsidRPr="0035100D" w:rsidRDefault="0035100D" w:rsidP="0035100D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Despesas com manutenção de atividades e de custeio da Administração Municipal, inclusive com pessoal ativo e inativo;</w:t>
      </w:r>
    </w:p>
    <w:p w:rsidR="0035100D" w:rsidRPr="0035100D" w:rsidRDefault="0035100D" w:rsidP="0035100D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Gastos com desapropriação ou aquisição de terrenos; </w:t>
      </w: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e</w:t>
      </w:r>
      <w:proofErr w:type="gramEnd"/>
    </w:p>
    <w:p w:rsidR="0035100D" w:rsidRPr="0035100D" w:rsidRDefault="0035100D" w:rsidP="0035100D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Gastos com pavimentação e iluminação pública. </w:t>
      </w:r>
    </w:p>
    <w:p w:rsidR="0035100D" w:rsidRPr="0035100D" w:rsidRDefault="0035100D" w:rsidP="0035100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Forma de apoio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Indireta automática.</w:t>
      </w:r>
    </w:p>
    <w:p w:rsidR="0035100D" w:rsidRPr="0035100D" w:rsidRDefault="0035100D" w:rsidP="0035100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Condições financeiras</w:t>
      </w:r>
    </w:p>
    <w:p w:rsidR="0035100D" w:rsidRPr="0035100D" w:rsidRDefault="0035100D" w:rsidP="0035100D">
      <w:pPr>
        <w:spacing w:before="100" w:beforeAutospacing="1" w:after="100" w:afterAutospacing="1"/>
        <w:outlineLvl w:val="4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Taxa de Juros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Custo Financeiro + Remuneração Básica do BNDES + Remuneração da Instituição Financeira Credenciada.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333333"/>
          <w:sz w:val="20"/>
          <w:szCs w:val="20"/>
          <w:lang w:val="pt-PT"/>
        </w:rPr>
        <w:lastRenderedPageBreak/>
        <w:t>a) Custo Financeiro:</w:t>
      </w:r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TJLP.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333333"/>
          <w:sz w:val="20"/>
          <w:szCs w:val="20"/>
          <w:lang w:val="pt-PT"/>
        </w:rPr>
        <w:t xml:space="preserve">b) Remuneração Básica do BNDES: </w:t>
      </w:r>
      <w:r w:rsidRPr="0035100D">
        <w:rPr>
          <w:rFonts w:ascii="Arial" w:hAnsi="Arial" w:cs="Arial"/>
          <w:color w:val="333333"/>
          <w:sz w:val="20"/>
          <w:szCs w:val="20"/>
          <w:lang w:val="pt-PT"/>
        </w:rPr>
        <w:t>0,9% a.a.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333333"/>
          <w:sz w:val="20"/>
          <w:szCs w:val="20"/>
          <w:lang w:val="pt-PT"/>
        </w:rPr>
        <w:t>c) Remuneração da Instituição Financeira Credenciada:</w:t>
      </w:r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negociada entre a instituição financeira e o cliente.</w:t>
      </w:r>
    </w:p>
    <w:p w:rsidR="0035100D" w:rsidRPr="0035100D" w:rsidRDefault="0035100D" w:rsidP="0035100D">
      <w:pPr>
        <w:spacing w:before="100" w:beforeAutospacing="1" w:after="100" w:afterAutospacing="1"/>
        <w:outlineLvl w:val="4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Participação máxima do BNDES</w:t>
      </w:r>
    </w:p>
    <w:p w:rsidR="0035100D" w:rsidRPr="0035100D" w:rsidRDefault="0035100D" w:rsidP="0035100D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333333"/>
          <w:sz w:val="20"/>
          <w:szCs w:val="20"/>
          <w:lang w:val="pt-PT"/>
        </w:rPr>
        <w:t>Aquisição de máquinas e equipamentos:</w:t>
      </w:r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100%.</w:t>
      </w:r>
    </w:p>
    <w:p w:rsidR="0035100D" w:rsidRPr="0035100D" w:rsidRDefault="0035100D" w:rsidP="0035100D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333333"/>
          <w:sz w:val="20"/>
          <w:szCs w:val="20"/>
          <w:lang w:val="pt-PT"/>
        </w:rPr>
        <w:t>Demais itens:</w:t>
      </w:r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95%.</w:t>
      </w:r>
      <w:r w:rsidRPr="0035100D">
        <w:rPr>
          <w:rFonts w:ascii="Arial" w:hAnsi="Arial" w:cs="Arial"/>
          <w:color w:val="333333"/>
          <w:sz w:val="20"/>
          <w:szCs w:val="20"/>
          <w:lang w:val="pt-PT"/>
        </w:rPr>
        <w:br/>
        <w:t> </w:t>
      </w:r>
    </w:p>
    <w:p w:rsidR="0035100D" w:rsidRPr="0035100D" w:rsidRDefault="0035100D" w:rsidP="0035100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Prazo total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Até </w:t>
      </w:r>
      <w:proofErr w:type="gramStart"/>
      <w:r w:rsidRPr="0035100D">
        <w:rPr>
          <w:rFonts w:ascii="Arial" w:hAnsi="Arial" w:cs="Arial"/>
          <w:color w:val="333333"/>
          <w:sz w:val="20"/>
          <w:szCs w:val="20"/>
          <w:lang w:val="pt-PT"/>
        </w:rPr>
        <w:t>8</w:t>
      </w:r>
      <w:proofErr w:type="gramEnd"/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anos, incluído o prazo de carência de até 2 anos.</w:t>
      </w:r>
    </w:p>
    <w:p w:rsidR="0035100D" w:rsidRPr="0035100D" w:rsidRDefault="0035100D" w:rsidP="0035100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Garantias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Cotas-parte do Fundo de Participação dos Municípios - FPM e/ou receitas provenientes do ICMS ou ICMS-Exportação.</w:t>
      </w:r>
    </w:p>
    <w:p w:rsidR="0035100D" w:rsidRPr="0035100D" w:rsidRDefault="0035100D" w:rsidP="0035100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Vigência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Até 31/10/2014.</w:t>
      </w:r>
    </w:p>
    <w:p w:rsidR="0035100D" w:rsidRPr="0035100D" w:rsidRDefault="0035100D" w:rsidP="0035100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35100D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Encaminhamento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O interessado em obter financiamento no âmbito do BNDES PMAT Automático deve dirigir-se à </w:t>
      </w:r>
      <w:hyperlink r:id="rId12" w:tgtFrame="_self" w:history="1">
        <w:r w:rsidRPr="0035100D">
          <w:rPr>
            <w:rFonts w:ascii="Arial" w:hAnsi="Arial" w:cs="Arial"/>
            <w:b/>
            <w:bCs/>
            <w:color w:val="00529C"/>
            <w:sz w:val="20"/>
            <w:szCs w:val="20"/>
            <w:lang w:val="pt-PT"/>
          </w:rPr>
          <w:t>instituição financeira credenciada</w:t>
        </w:r>
      </w:hyperlink>
      <w:r w:rsidRPr="0035100D">
        <w:rPr>
          <w:rFonts w:ascii="Arial" w:hAnsi="Arial" w:cs="Arial"/>
          <w:color w:val="333333"/>
          <w:sz w:val="20"/>
          <w:szCs w:val="20"/>
          <w:lang w:val="pt-PT"/>
        </w:rPr>
        <w:t xml:space="preserve"> de sua preferência, que informará qual a documentação necessária, analisará a possibilidade de concessão do crédito e negociará as garantias.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O município solicitante deverá apresentar à instituição financeira credenciada Projeto de Modernização que permita identificar, analisar e acompanhar detalhadamente o conjunto de ações e metas físicas e financeiras, por meio das quais pretenda alcançar um maior nível de eficiência em sua arrecadação ou de redução efetiva do custo unitário do setor público na prestação dos serviços sociais básicos.</w:t>
      </w:r>
    </w:p>
    <w:p w:rsidR="0035100D" w:rsidRPr="0035100D" w:rsidRDefault="0035100D" w:rsidP="0035100D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35100D">
        <w:rPr>
          <w:rFonts w:ascii="Arial" w:hAnsi="Arial" w:cs="Arial"/>
          <w:color w:val="333333"/>
          <w:sz w:val="20"/>
          <w:szCs w:val="20"/>
          <w:lang w:val="pt-PT"/>
        </w:rPr>
        <w:t>Após a aprovação pela instituição, a operação será encaminhada para homologação e posterior liberação dos recursos pelo BNDES.</w:t>
      </w:r>
    </w:p>
    <w:p w:rsidR="00441429" w:rsidRPr="0035100D" w:rsidRDefault="00441429">
      <w:pPr>
        <w:rPr>
          <w:rFonts w:ascii="Arial" w:hAnsi="Arial" w:cs="Arial"/>
          <w:sz w:val="20"/>
          <w:szCs w:val="20"/>
          <w:lang w:val="pt-PT"/>
        </w:rPr>
      </w:pPr>
    </w:p>
    <w:sectPr w:rsidR="00441429" w:rsidRPr="00351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C60E1"/>
    <w:multiLevelType w:val="multilevel"/>
    <w:tmpl w:val="C188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0827AE"/>
    <w:multiLevelType w:val="multilevel"/>
    <w:tmpl w:val="0770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4E1954"/>
    <w:multiLevelType w:val="multilevel"/>
    <w:tmpl w:val="AAE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B243CA"/>
    <w:multiLevelType w:val="multilevel"/>
    <w:tmpl w:val="C404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0D"/>
    <w:rsid w:val="0035100D"/>
    <w:rsid w:val="00441429"/>
    <w:rsid w:val="00F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00D"/>
    <w:pPr>
      <w:spacing w:after="0" w:line="240" w:lineRule="auto"/>
    </w:pPr>
    <w:rPr>
      <w:rFonts w:ascii="Optimum" w:eastAsia="Times New Roman" w:hAnsi="Optimum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00D"/>
    <w:pPr>
      <w:spacing w:after="0" w:line="240" w:lineRule="auto"/>
    </w:pPr>
    <w:rPr>
      <w:rFonts w:ascii="Optimum" w:eastAsia="Times New Roman" w:hAnsi="Optimum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ndes.gov.br/SiteBNDES/bndes/bndes_pt/Ferramentas_e_Normas/Credenciamento_de_Equipamentos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ndes.gov.br/SiteBNDES/bndes/bndes_pt/Institucional/Apoio_Financeiro/Programas_e_Fundos/PMAT/pmat.html" TargetMode="External"/><Relationship Id="rId12" Type="http://schemas.openxmlformats.org/officeDocument/2006/relationships/hyperlink" Target="http://www.bndes.gov.br/SiteBNDES/bndes/bndes_pt/Navegacao_Suplementar/Perfil/Instituicao_Financeira_Credenciada/instituico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ge.gov.br/" TargetMode="External"/><Relationship Id="rId11" Type="http://schemas.openxmlformats.org/officeDocument/2006/relationships/hyperlink" Target="http://www.bndes.gov.br/SiteBNDES/bndes/bndes_pt/Institucional/Apoio_Financeiro/Programas_e_Fundos/Prosoft/prosoft_comercializacao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mprasnet.gov.br/legislacao/portarias/p07_06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Leis/L8248compila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1090</Words>
  <Characters>5889</Characters>
  <Application>Microsoft Office Word</Application>
  <DocSecurity>0</DocSecurity>
  <Lines>49</Lines>
  <Paragraphs>13</Paragraphs>
  <ScaleCrop>false</ScaleCrop>
  <Company>MEC</Company>
  <LinksUpToDate>false</LinksUpToDate>
  <CharactersWithSpaces>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Dani</dc:creator>
  <cp:keywords/>
  <dc:description/>
  <cp:lastModifiedBy>Adriano Dani</cp:lastModifiedBy>
  <cp:revision>2</cp:revision>
  <dcterms:created xsi:type="dcterms:W3CDTF">2011-09-22T19:55:00Z</dcterms:created>
  <dcterms:modified xsi:type="dcterms:W3CDTF">2011-09-22T20:02:00Z</dcterms:modified>
</cp:coreProperties>
</file>