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60" w:before="0"/>
        <w:jc w:val="center"/>
      </w:pPr>
      <w:r>
        <w:rPr>
          <w:rFonts w:ascii="Arial" w:cs="Arial" w:eastAsia="Arial" w:hAnsi="Arial"/>
          <w:b/>
          <w:bCs/>
          <w:color w:val="4A3AB7"/>
          <w:sz w:val="56"/>
          <w:szCs w:val="56"/>
        </w:rPr>
        <w:t xml:space="preserve">KILTI KONET</w:t>
      </w:r>
    </w:p>
    <w:p>
      <w:pPr>
        <w:spacing w:after="500" w:before="0"/>
        <w:jc w:val="center"/>
      </w:pPr>
      <w:r>
        <w:rPr>
          <w:rFonts w:ascii="Arial" w:cs="Arial" w:eastAsia="Arial" w:hAnsi="Arial"/>
          <w:color w:val="5F5E5A"/>
          <w:sz w:val="22"/>
          <w:szCs w:val="22"/>
        </w:rPr>
        <w:t xml:space="preserve">Association loi 1901 — Martinique</w:t>
      </w:r>
    </w:p>
    <w:p>
      <w:pPr>
        <w:pBdr>
          <w:bottom w:val="single" w:color="4A3AB7" w:sz="8" w:space="1"/>
        </w:pBdr>
        <w:spacing w:after="200" w:before="0"/>
      </w:pPr>
    </w:p>
    <w:p>
      <w:pPr>
        <w:spacing w:after="80" w:before="240"/>
        <w:jc w:val="center"/>
      </w:pPr>
      <w:r>
        <w:rPr>
          <w:rFonts w:ascii="Arial" w:cs="Arial" w:eastAsia="Arial" w:hAnsi="Arial"/>
          <w:b/>
          <w:bCs/>
          <w:color w:val="1A1A1A"/>
          <w:sz w:val="52"/>
          <w:szCs w:val="52"/>
        </w:rPr>
        <w:t xml:space="preserve">CAHIER DES CHARGES</w:t>
      </w:r>
    </w:p>
    <w:p>
      <w:pPr>
        <w:spacing w:after="80" w:before="0"/>
        <w:jc w:val="center"/>
      </w:pPr>
      <w:r>
        <w:rPr>
          <w:rFonts w:ascii="Arial" w:cs="Arial" w:eastAsia="Arial" w:hAnsi="Arial"/>
          <w:b/>
          <w:bCs/>
          <w:color w:val="4A3AB7"/>
          <w:sz w:val="40"/>
          <w:szCs w:val="40"/>
        </w:rPr>
        <w:t xml:space="preserve">Appel à projet Culture Connect 2026</w:t>
      </w:r>
    </w:p>
    <w:p>
      <w:pPr>
        <w:spacing w:after="500" w:before="0"/>
        <w:jc w:val="center"/>
      </w:pPr>
      <w:r>
        <w:rPr>
          <w:rFonts w:ascii="Arial" w:cs="Arial" w:eastAsia="Arial" w:hAnsi="Arial"/>
          <w:i/>
          <w:iCs/>
          <w:color w:val="0F6E56"/>
          <w:sz w:val="24"/>
          <w:szCs w:val="24"/>
        </w:rPr>
        <w:t xml:space="preserve">Chimin Savann · La Savane, Fort-de-France · 20 – 23 mai 2026</w:t>
      </w:r>
    </w:p>
    <w:p>
      <w:pPr>
        <w:pBdr>
          <w:bottom w:val="single" w:color="0F6E56" w:sz="8" w:space="1"/>
        </w:pBdr>
        <w:spacing w:after="200" w:before="0"/>
      </w:pP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EEDFE" w:val="clear"/>
            <w:tcMar>
              <w:top w:type="dxa" w:w="200"/>
              <w:left w:type="dxa" w:w="300"/>
              <w:bottom w:type="dxa" w:w="200"/>
              <w:right w:type="dxa" w:w="300"/>
            </w:tcMar>
          </w:tcPr>
          <w:p>
            <w:pPr>
              <w:spacing w:after="60" w:before="0"/>
            </w:pPr>
            <w:r>
              <w:rPr>
                <w:rFonts w:ascii="Arial" w:cs="Arial" w:eastAsia="Arial" w:hAnsi="Arial"/>
                <w:b/>
                <w:bCs/>
                <w:color w:val="4A3AB7"/>
                <w:sz w:val="20"/>
                <w:szCs w:val="20"/>
              </w:rPr>
              <w:t xml:space="preserve">Émetteur</w:t>
            </w:r>
          </w:p>
          <w:p>
            <w:pPr>
              <w:spacing w:after="120" w:before="0"/>
            </w:pPr>
            <w:r>
              <w:rPr>
                <w:rFonts w:ascii="Arial" w:cs="Arial" w:eastAsia="Arial" w:hAnsi="Arial"/>
                <w:color w:val="1A1A1A"/>
                <w:sz w:val="20"/>
                <w:szCs w:val="20"/>
              </w:rPr>
              <w:t xml:space="preserve">Kilti Konet, bras institutionnel de CVLN Group en Martinique.</w:t>
            </w:r>
          </w:p>
          <w:p>
            <w:pPr>
              <w:spacing w:after="60" w:before="0"/>
            </w:pPr>
            <w:r>
              <w:rPr>
                <w:rFonts w:ascii="Arial" w:cs="Arial" w:eastAsia="Arial" w:hAnsi="Arial"/>
                <w:b/>
                <w:bCs/>
                <w:color w:val="4A3AB7"/>
                <w:sz w:val="20"/>
                <w:szCs w:val="20"/>
              </w:rPr>
              <w:t xml:space="preserve">Objet</w:t>
            </w:r>
          </w:p>
          <w:p>
            <w:pPr>
              <w:spacing w:after="120" w:before="0"/>
            </w:pPr>
            <w:r>
              <w:rPr>
                <w:rFonts w:ascii="Arial" w:cs="Arial" w:eastAsia="Arial" w:hAnsi="Arial"/>
                <w:color w:val="1A1A1A"/>
                <w:sz w:val="20"/>
                <w:szCs w:val="20"/>
              </w:rPr>
              <w:t xml:space="preserve">Sélection de 3 à 5 projets culturels caribéens et diaspora pour intégrer l'écosystème Culture Connect lors de Chimin Savann.</w:t>
            </w:r>
          </w:p>
          <w:p>
            <w:pPr>
              <w:spacing w:after="60" w:before="0"/>
            </w:pPr>
            <w:r>
              <w:rPr>
                <w:rFonts w:ascii="Arial" w:cs="Arial" w:eastAsia="Arial" w:hAnsi="Arial"/>
                <w:b/>
                <w:bCs/>
                <w:color w:val="4A3AB7"/>
                <w:sz w:val="20"/>
                <w:szCs w:val="20"/>
              </w:rPr>
              <w:t xml:space="preserve">Date limite de candidature</w:t>
            </w:r>
          </w:p>
          <w:p>
            <w:pPr>
              <w:spacing w:after="0" w:before="0"/>
            </w:pPr>
            <w:r>
              <w:rPr>
                <w:rFonts w:ascii="Arial" w:cs="Arial" w:eastAsia="Arial" w:hAnsi="Arial"/>
                <w:b/>
                <w:bCs/>
                <w:color w:val="993C1D"/>
                <w:sz w:val="20"/>
                <w:szCs w:val="20"/>
              </w:rPr>
              <w:t xml:space="preserve">30 avril 2026, 23h59 (heure de Martinique)</w:t>
            </w:r>
          </w:p>
        </w:tc>
      </w:tr>
    </w:tbl>
    <w:p>
      <w:pPr>
        <w:spacing w:after="0" w:before="0"/>
      </w:pPr>
      <w:r>
        <w:br/>
      </w:r>
    </w:p>
    <w:p>
      <w:pPr>
        <w:spacing w:after="140" w:before="400"/>
      </w:pPr>
      <w:r>
        <w:rPr>
          <w:rFonts w:ascii="Arial" w:cs="Arial" w:eastAsia="Arial" w:hAnsi="Arial"/>
          <w:b/>
          <w:bCs/>
          <w:color w:val="4A3AB7"/>
          <w:sz w:val="36"/>
          <w:szCs w:val="36"/>
        </w:rPr>
        <w:t xml:space="preserve">1. L'émetteur</w:t>
      </w:r>
    </w:p>
    <w:p>
      <w:pPr>
        <w:spacing w:after="80" w:before="80"/>
        <w:jc w:val="both"/>
      </w:pPr>
      <w:r>
        <w:rPr>
          <w:rFonts w:ascii="Arial" w:cs="Arial" w:eastAsia="Arial" w:hAnsi="Arial"/>
          <w:color w:val="1A1A1A"/>
          <w:sz w:val="22"/>
          <w:szCs w:val="22"/>
        </w:rPr>
        <w:t xml:space="preserve">Kilti Konet est l'association loi 1901 constituée pour porter l'action institutionnelle, culturelle et normative de CVLN Group en Martinique et dans l'espace caribéen. Elle est la structure habilitée à émettre le présent appel à projet au nom de Culture Connect et de son Cultural Impact Program (CIP).</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A3AB7" w:sz="20"/>
              <w:bottom w:val="none" w:color="FFFFFF" w:sz="0"/>
              <w:right w:val="none" w:color="FFFFFF" w:sz="0"/>
            </w:tcBorders>
            <w:shd w:fill="EEEDFE" w:val="clear"/>
            <w:tcMar>
              <w:top w:type="dxa" w:w="120"/>
              <w:left w:type="dxa" w:w="240"/>
              <w:bottom w:type="dxa" w:w="120"/>
              <w:right w:type="dxa" w:w="120"/>
            </w:tcMar>
          </w:tcPr>
          <w:p>
            <w:pPr>
              <w:spacing w:after="40" w:before="40"/>
            </w:pPr>
            <w:r>
              <w:rPr>
                <w:rFonts w:ascii="Arial" w:cs="Arial" w:eastAsia="Arial" w:hAnsi="Arial"/>
                <w:i/>
                <w:iCs/>
                <w:color w:val="4A3AB7"/>
                <w:sz w:val="22"/>
                <w:szCs w:val="22"/>
              </w:rPr>
              <w:t xml:space="preserve">Kilti Konet ne répond pas à des appels à projet. Elle en lance. La sélection des projets retenus constitue le premier déploiement public du standard Culture Connect sur le territoire caribéen.</w:t>
            </w:r>
          </w:p>
        </w:tc>
      </w:tr>
    </w:tbl>
    <w:p>
      <w:pPr>
        <w:spacing w:after="120" w:before="0"/>
      </w:pPr>
    </w:p>
    <w:p>
      <w:pPr>
        <w:spacing w:after="80" w:before="80"/>
        <w:jc w:val="both"/>
      </w:pPr>
      <w:r>
        <w:rPr>
          <w:rFonts w:ascii="Arial" w:cs="Arial" w:eastAsia="Arial" w:hAnsi="Arial"/>
          <w:color w:val="1A1A1A"/>
          <w:sz w:val="22"/>
          <w:szCs w:val="22"/>
        </w:rPr>
        <w:t xml:space="preserve">La légitimité de Kilti Konet repose sur trois piliers :</w:t>
      </w:r>
    </w:p>
    <w:p>
      <w:pPr>
        <w:spacing w:after="80" w:before="0"/>
      </w:pPr>
    </w:p>
    <w:p>
      <w:pPr>
        <w:pStyle w:val="ListParagraph"/>
        <w:numPr>
          <w:ilvl w:val="0"/>
          <w:numId w:val="2"/>
        </w:numPr>
        <w:spacing w:after="60" w:before="60"/>
      </w:pPr>
      <w:r>
        <w:rPr>
          <w:rFonts w:ascii="Arial" w:cs="Arial" w:eastAsia="Arial" w:hAnsi="Arial"/>
          <w:b w:val="false"/>
          <w:bCs w:val="false"/>
          <w:color w:val="1A1A1A"/>
          <w:sz w:val="22"/>
          <w:szCs w:val="22"/>
        </w:rPr>
        <w:t xml:space="preserve">Légitimité normative — Kilti Konet opère le CIP, détient la méthodologie du Cultural Impact Score et le label CC Certified, et porte le concept fondateur de récupération.</w:t>
      </w:r>
    </w:p>
    <w:p>
      <w:pPr>
        <w:pStyle w:val="ListParagraph"/>
        <w:numPr>
          <w:ilvl w:val="0"/>
          <w:numId w:val="2"/>
        </w:numPr>
        <w:spacing w:after="60" w:before="60"/>
      </w:pPr>
      <w:r>
        <w:rPr>
          <w:rFonts w:ascii="Arial" w:cs="Arial" w:eastAsia="Arial" w:hAnsi="Arial"/>
          <w:b w:val="false"/>
          <w:bCs w:val="false"/>
          <w:color w:val="1A1A1A"/>
          <w:sz w:val="22"/>
          <w:szCs w:val="22"/>
        </w:rPr>
        <w:t xml:space="preserve">Légitimité territoriale — ancrée en Martinique, elle anime Chimin Savann (6 000 participants attendus) avec des partenaires institutionnels actifs : DAC, CTM, Mairie de Fort-de-France, Député, MCC Cartagena.</w:t>
      </w:r>
    </w:p>
    <w:p>
      <w:pPr>
        <w:pStyle w:val="ListParagraph"/>
        <w:numPr>
          <w:ilvl w:val="0"/>
          <w:numId w:val="2"/>
        </w:numPr>
        <w:spacing w:after="60" w:before="60"/>
      </w:pPr>
      <w:r>
        <w:rPr>
          <w:rFonts w:ascii="Arial" w:cs="Arial" w:eastAsia="Arial" w:hAnsi="Arial"/>
          <w:b w:val="false"/>
          <w:bCs w:val="false"/>
          <w:color w:val="1A1A1A"/>
          <w:sz w:val="22"/>
          <w:szCs w:val="22"/>
        </w:rPr>
        <w:t xml:space="preserve">Légitimité de réseau — bras de CVLN Group, elle s'appuie sur FREK, CVL BRAIN et les Jetons CC comme infrastructure culturelle numérique.</w:t>
      </w:r>
    </w:p>
    <w:p>
      <w:pPr>
        <w:spacing w:after="140" w:before="400"/>
      </w:pPr>
      <w:r>
        <w:rPr>
          <w:rFonts w:ascii="Arial" w:cs="Arial" w:eastAsia="Arial" w:hAnsi="Arial"/>
          <w:b/>
          <w:bCs/>
          <w:color w:val="4A3AB7"/>
          <w:sz w:val="36"/>
          <w:szCs w:val="36"/>
        </w:rPr>
        <w:t xml:space="preserve">2. Contexte — Chimin Savann et Culture Connect</w:t>
      </w:r>
    </w:p>
    <w:p>
      <w:pPr>
        <w:spacing w:after="80" w:before="80"/>
        <w:jc w:val="both"/>
      </w:pPr>
      <w:r>
        <w:rPr>
          <w:rFonts w:ascii="Arial" w:cs="Arial" w:eastAsia="Arial" w:hAnsi="Arial"/>
          <w:color w:val="1A1A1A"/>
          <w:sz w:val="22"/>
          <w:szCs w:val="22"/>
        </w:rPr>
        <w:t xml:space="preserve">Chimin Savann est un événement afro-caribéen organisé par Kilti Konet du 20 au 23 mai 2026 à La Savane, Fort-de-France, Martinique. Il réunit artistes, institutions, entreprises et diaspora autour d'une conviction centrale : la culture produit une valeur mesurable qui mérite d'être reconnue et redistribuée.</w:t>
      </w:r>
    </w:p>
    <w:p>
      <w:pPr>
        <w:spacing w:after="80" w:before="0"/>
      </w:pPr>
    </w:p>
    <w:p>
      <w:pPr>
        <w:spacing w:after="80" w:before="80"/>
        <w:jc w:val="both"/>
      </w:pPr>
      <w:r>
        <w:rPr>
          <w:rFonts w:ascii="Arial" w:cs="Arial" w:eastAsia="Arial" w:hAnsi="Arial"/>
          <w:color w:val="1A1A1A"/>
          <w:sz w:val="22"/>
          <w:szCs w:val="22"/>
        </w:rPr>
        <w:t xml:space="preserve">Culture Connect est le standard de mesure, de valorisation et de redistribution de cette valeur culturelle. Le Cultural Impact Program (CIP) en est le dispositif opérationnel. CC2026 est son premier terrain de preuve.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54F0B" w:sz="20"/>
              <w:bottom w:val="none" w:color="FFFFFF" w:sz="0"/>
              <w:right w:val="none" w:color="FFFFFF" w:sz="0"/>
            </w:tcBorders>
            <w:shd w:fill="FAEEDA" w:val="clear"/>
            <w:tcMar>
              <w:top w:type="dxa" w:w="120"/>
              <w:left w:type="dxa" w:w="240"/>
              <w:bottom w:type="dxa" w:w="120"/>
              <w:right w:type="dxa" w:w="120"/>
            </w:tcMar>
          </w:tcPr>
          <w:p>
            <w:pPr>
              <w:spacing w:after="40" w:before="40"/>
            </w:pPr>
            <w:r>
              <w:rPr>
                <w:rFonts w:ascii="Arial" w:cs="Arial" w:eastAsia="Arial" w:hAnsi="Arial"/>
                <w:i/>
                <w:iCs/>
                <w:color w:val="854F0B"/>
                <w:sz w:val="22"/>
                <w:szCs w:val="22"/>
              </w:rPr>
              <w:t xml:space="preserve">L'appel à projet Culture Connect 2026 vise la capture de 40 000 FREK-IDs — preuve de marché pour le tour de financement Seed de CVLN Group. Chaque projet sélectionné contribue directement à cet objectif.</w:t>
            </w:r>
          </w:p>
        </w:tc>
      </w:tr>
    </w:tbl>
    <w:p>
      <w:pPr>
        <w:spacing w:after="140" w:before="400"/>
      </w:pPr>
      <w:r>
        <w:rPr>
          <w:rFonts w:ascii="Arial" w:cs="Arial" w:eastAsia="Arial" w:hAnsi="Arial"/>
          <w:b/>
          <w:bCs/>
          <w:color w:val="4A3AB7"/>
          <w:sz w:val="36"/>
          <w:szCs w:val="36"/>
        </w:rPr>
        <w:t xml:space="preserve">3. Qui peut répondre</w:t>
      </w:r>
    </w:p>
    <w:p>
      <w:pPr>
        <w:spacing w:after="100" w:before="280"/>
      </w:pPr>
      <w:r>
        <w:rPr>
          <w:rFonts w:ascii="Arial" w:cs="Arial" w:eastAsia="Arial" w:hAnsi="Arial"/>
          <w:b/>
          <w:bCs/>
          <w:color w:val="0F6E56"/>
          <w:sz w:val="26"/>
          <w:szCs w:val="26"/>
        </w:rPr>
        <w:t xml:space="preserve">3.1 Profils éligibles</w:t>
      </w:r>
    </w:p>
    <w:p>
      <w:pPr>
        <w:spacing w:after="80" w:before="80"/>
        <w:jc w:val="both"/>
      </w:pPr>
      <w:r>
        <w:rPr>
          <w:rFonts w:ascii="Arial" w:cs="Arial" w:eastAsia="Arial" w:hAnsi="Arial"/>
          <w:color w:val="1A1A1A"/>
          <w:sz w:val="22"/>
          <w:szCs w:val="22"/>
        </w:rPr>
        <w:t xml:space="preserve">Trois types de porteurs peuvent candidater, sans restriction de taille ou de notoriété. Ce qui compte n'est pas le statut juridique — c'est la réalité de l'impact culturel produit.</w:t>
      </w: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26"/>
        <w:gridCol w:w="2400"/>
      </w:tblGrid>
      <w:tr>
        <w:tc>
          <w:tcPr>
            <w:tcW w:type="dxa" w:w="2200"/>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r>
              <w:rPr>
                <w:rFonts w:ascii="Arial" w:cs="Arial" w:eastAsia="Arial" w:hAnsi="Arial"/>
                <w:b/>
                <w:bCs/>
                <w:color w:val="FFFFFF"/>
                <w:sz w:val="20"/>
                <w:szCs w:val="20"/>
              </w:rPr>
              <w:t xml:space="preserve">Profil</w:t>
            </w:r>
          </w:p>
        </w:tc>
        <w:tc>
          <w:tcPr>
            <w:tcW w:type="dxa" w:w="4426"/>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r>
              <w:rPr>
                <w:rFonts w:ascii="Arial" w:cs="Arial" w:eastAsia="Arial" w:hAnsi="Arial"/>
                <w:b/>
                <w:bCs/>
                <w:color w:val="FFFFFF"/>
                <w:sz w:val="20"/>
                <w:szCs w:val="20"/>
              </w:rPr>
              <w:t xml:space="preserve">Exemples</w:t>
            </w:r>
          </w:p>
        </w:tc>
      </w:tr>
      <w:tr>
        <w:tc>
          <w:tcPr>
            <w:tcW w:type="dxa" w:w="2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A3AB7"/>
                <w:sz w:val="20"/>
                <w:szCs w:val="20"/>
              </w:rPr>
              <w:t xml:space="preserve">Artiste / créateur</w:t>
            </w:r>
          </w:p>
        </w:tc>
        <w:tc>
          <w:tcPr>
            <w:tcW w:type="dxa" w:w="4426"/>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pPr>
              <w:jc w:val="both"/>
            </w:pPr>
            <w:r>
              <w:rPr>
                <w:rFonts w:ascii="Arial" w:cs="Arial" w:eastAsia="Arial" w:hAnsi="Arial"/>
                <w:color w:val="1A1A1A"/>
                <w:sz w:val="20"/>
                <w:szCs w:val="20"/>
              </w:rPr>
              <w:t xml:space="preserve">Individu dont la démarche produit un impact culturel documentable. Doit pouvoir participer personnellement à Chimin Savann.</w:t>
            </w:r>
          </w:p>
        </w:tc>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i/>
                <w:iCs/>
                <w:color w:val="5F5E5A"/>
                <w:sz w:val="20"/>
                <w:szCs w:val="20"/>
              </w:rPr>
              <w:t xml:space="preserve">Musicien, plasticien, auteur, chorégraphe, cinéaste, designer culturel.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3AB7"/>
                <w:sz w:val="20"/>
                <w:szCs w:val="20"/>
              </w:rPr>
              <w:t xml:space="preserve">Association culturelle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1A1A1A"/>
                <w:sz w:val="20"/>
                <w:szCs w:val="20"/>
              </w:rPr>
              <w:t xml:space="preserve">Objet statutaire principal culturel, artistique ou patrimonial. Au moins un représentant présent à Chimin Savann.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F5E5A"/>
                <w:sz w:val="20"/>
                <w:szCs w:val="20"/>
              </w:rPr>
              <w:t xml:space="preserve">Compagnie de danse, collectif artistique, réseau diaspora, structure d'éducation artistique.</w:t>
            </w:r>
          </w:p>
        </w:tc>
      </w:tr>
      <w:tr>
        <w:tc>
          <w:tcPr>
            <w:tcW w:type="dxa" w:w="2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A3AB7"/>
                <w:sz w:val="20"/>
                <w:szCs w:val="20"/>
              </w:rPr>
              <w:t xml:space="preserve">Entreprise culturelle</w:t>
            </w:r>
          </w:p>
        </w:tc>
        <w:tc>
          <w:tcPr>
            <w:tcW w:type="dxa" w:w="4426"/>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pPr>
              <w:jc w:val="both"/>
            </w:pPr>
            <w:r>
              <w:rPr>
                <w:rFonts w:ascii="Arial" w:cs="Arial" w:eastAsia="Arial" w:hAnsi="Arial"/>
                <w:color w:val="1A1A1A"/>
                <w:sz w:val="20"/>
                <w:szCs w:val="20"/>
              </w:rPr>
              <w:t xml:space="preserve">Activité principale ou significative liée à la création, diffusion ou valorisation de la culture caribéenne. Dimension culturelle non accessoire.</w:t>
            </w:r>
          </w:p>
        </w:tc>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i/>
                <w:iCs/>
                <w:color w:val="5F5E5A"/>
                <w:sz w:val="20"/>
                <w:szCs w:val="20"/>
              </w:rPr>
              <w:t xml:space="preserve">Label musical, maison d'édition, agence créative, studio audiovisuel, plateforme culturelle.</w:t>
            </w:r>
          </w:p>
        </w:tc>
      </w:tr>
    </w:tbl>
    <w:p>
      <w:pPr>
        <w:spacing w:after="160" w:before="0"/>
      </w:pPr>
    </w:p>
    <w:p>
      <w:pPr>
        <w:spacing w:after="100" w:before="280"/>
      </w:pPr>
      <w:r>
        <w:rPr>
          <w:rFonts w:ascii="Arial" w:cs="Arial" w:eastAsia="Arial" w:hAnsi="Arial"/>
          <w:b/>
          <w:bCs/>
          <w:color w:val="0F6E56"/>
          <w:sz w:val="26"/>
          <w:szCs w:val="26"/>
        </w:rPr>
        <w:t xml:space="preserve">3.2 Territoires d'ancrage</w:t>
      </w:r>
    </w:p>
    <w:p>
      <w:pPr>
        <w:spacing w:after="80" w:before="80"/>
        <w:jc w:val="both"/>
      </w:pPr>
      <w:r>
        <w:rPr>
          <w:rFonts w:ascii="Arial" w:cs="Arial" w:eastAsia="Arial" w:hAnsi="Arial"/>
          <w:color w:val="1A1A1A"/>
          <w:sz w:val="22"/>
          <w:szCs w:val="22"/>
        </w:rPr>
        <w:t xml:space="preserve">L'appel est ouvert aux porteurs du monde entier. Ce qui compte est le territoire d'impact du projet — pas le lieu de résidence ou d'enregistrement du porteur. Un artiste basé à Paris, un collectif haïtien ou une entreprise colombienne peuvent tous candidater.</w:t>
      </w:r>
    </w:p>
    <w:p>
      <w:pPr>
        <w:spacing w:after="100" w:before="0"/>
      </w:pPr>
    </w:p>
    <w:p>
      <w:pPr>
        <w:pStyle w:val="ListParagraph"/>
        <w:numPr>
          <w:ilvl w:val="0"/>
          <w:numId w:val="2"/>
        </w:numPr>
        <w:spacing w:after="60" w:before="60"/>
      </w:pPr>
      <w:r>
        <w:rPr>
          <w:rFonts w:ascii="Arial" w:cs="Arial" w:eastAsia="Arial" w:hAnsi="Arial"/>
          <w:b w:val="false"/>
          <w:bCs w:val="false"/>
          <w:color w:val="1A1A1A"/>
          <w:sz w:val="22"/>
          <w:szCs w:val="22"/>
        </w:rPr>
        <w:t xml:space="preserve">Martinique — territoire prioritaire, ancrage direct à Chimin Savann.</w:t>
      </w:r>
    </w:p>
    <w:p>
      <w:pPr>
        <w:pStyle w:val="ListParagraph"/>
        <w:numPr>
          <w:ilvl w:val="0"/>
          <w:numId w:val="2"/>
        </w:numPr>
        <w:spacing w:after="60" w:before="60"/>
      </w:pPr>
      <w:r>
        <w:rPr>
          <w:rFonts w:ascii="Arial" w:cs="Arial" w:eastAsia="Arial" w:hAnsi="Arial"/>
          <w:b w:val="false"/>
          <w:bCs w:val="false"/>
          <w:color w:val="1A1A1A"/>
          <w:sz w:val="22"/>
          <w:szCs w:val="22"/>
        </w:rPr>
        <w:t xml:space="preserve">Caraïbes — Guadeloupe, Guyane, Haïti, Trinidad, Cuba, Colombie, et tout territoire caribéen.</w:t>
      </w:r>
    </w:p>
    <w:p>
      <w:pPr>
        <w:pStyle w:val="ListParagraph"/>
        <w:numPr>
          <w:ilvl w:val="0"/>
          <w:numId w:val="2"/>
        </w:numPr>
        <w:spacing w:after="60" w:before="60"/>
      </w:pPr>
      <w:r>
        <w:rPr>
          <w:rFonts w:ascii="Arial" w:cs="Arial" w:eastAsia="Arial" w:hAnsi="Arial"/>
          <w:b w:val="false"/>
          <w:bCs w:val="false"/>
          <w:color w:val="1A1A1A"/>
          <w:sz w:val="22"/>
          <w:szCs w:val="22"/>
        </w:rPr>
        <w:t xml:space="preserve">Diaspora (France métropolitaine) — avec lien culturel caribéen ou afro-descendant documenté.</w:t>
      </w:r>
    </w:p>
    <w:p>
      <w:pPr>
        <w:pStyle w:val="ListParagraph"/>
        <w:numPr>
          <w:ilvl w:val="0"/>
          <w:numId w:val="2"/>
        </w:numPr>
        <w:spacing w:after="60" w:before="60"/>
      </w:pPr>
      <w:r>
        <w:rPr>
          <w:rFonts w:ascii="Arial" w:cs="Arial" w:eastAsia="Arial" w:hAnsi="Arial"/>
          <w:b w:val="false"/>
          <w:bCs w:val="false"/>
          <w:color w:val="1A1A1A"/>
          <w:sz w:val="22"/>
          <w:szCs w:val="22"/>
        </w:rPr>
        <w:t xml:space="preserve">International — Amérique Latine, Afrique — avec lien à la culture afro-caribéenne ou diaspora explicitement documenté.</w:t>
      </w:r>
    </w:p>
    <w:p>
      <w:pPr>
        <w:spacing w:after="80" w:before="0"/>
      </w:pPr>
    </w:p>
    <w:p>
      <w:pPr>
        <w:spacing w:after="100" w:before="280"/>
      </w:pPr>
      <w:r>
        <w:rPr>
          <w:rFonts w:ascii="Arial" w:cs="Arial" w:eastAsia="Arial" w:hAnsi="Arial"/>
          <w:b/>
          <w:bCs/>
          <w:color w:val="0F6E56"/>
          <w:sz w:val="26"/>
          <w:szCs w:val="26"/>
        </w:rPr>
        <w:t xml:space="preserve">3.3 Causes d'inéligibilité</w:t>
      </w:r>
    </w:p>
    <w:p>
      <w:pPr>
        <w:pStyle w:val="ListParagraph"/>
        <w:numPr>
          <w:ilvl w:val="0"/>
          <w:numId w:val="2"/>
        </w:numPr>
        <w:spacing w:after="60" w:before="60"/>
      </w:pPr>
      <w:r>
        <w:rPr>
          <w:rFonts w:ascii="Arial" w:cs="Arial" w:eastAsia="Arial" w:hAnsi="Arial"/>
          <w:b w:val="false"/>
          <w:bCs w:val="false"/>
          <w:color w:val="1A1A1A"/>
          <w:sz w:val="22"/>
          <w:szCs w:val="22"/>
        </w:rPr>
        <w:t xml:space="preserve">Projet sans lien documenté avec le territoire caribéen ou la diaspora afro-caribéenne.</w:t>
      </w:r>
    </w:p>
    <w:p>
      <w:pPr>
        <w:pStyle w:val="ListParagraph"/>
        <w:numPr>
          <w:ilvl w:val="0"/>
          <w:numId w:val="2"/>
        </w:numPr>
        <w:spacing w:after="60" w:before="60"/>
      </w:pPr>
      <w:r>
        <w:rPr>
          <w:rFonts w:ascii="Arial" w:cs="Arial" w:eastAsia="Arial" w:hAnsi="Arial"/>
          <w:b w:val="false"/>
          <w:bCs w:val="false"/>
          <w:color w:val="1A1A1A"/>
          <w:sz w:val="22"/>
          <w:szCs w:val="22"/>
        </w:rPr>
        <w:t xml:space="preserve">Impact culturel non mesurable ou non documentable.</w:t>
      </w:r>
    </w:p>
    <w:p>
      <w:pPr>
        <w:pStyle w:val="ListParagraph"/>
        <w:numPr>
          <w:ilvl w:val="0"/>
          <w:numId w:val="2"/>
        </w:numPr>
        <w:spacing w:after="60" w:before="60"/>
      </w:pPr>
      <w:r>
        <w:rPr>
          <w:rFonts w:ascii="Arial" w:cs="Arial" w:eastAsia="Arial" w:hAnsi="Arial"/>
          <w:b w:val="false"/>
          <w:bCs w:val="false"/>
          <w:color w:val="1A1A1A"/>
          <w:sz w:val="22"/>
          <w:szCs w:val="22"/>
        </w:rPr>
        <w:t xml:space="preserve">Refus de publication du Cultural Impact Score le 23 mai 2026.</w:t>
      </w:r>
    </w:p>
    <w:p>
      <w:pPr>
        <w:pStyle w:val="ListParagraph"/>
        <w:numPr>
          <w:ilvl w:val="0"/>
          <w:numId w:val="2"/>
        </w:numPr>
        <w:spacing w:after="60" w:before="60"/>
      </w:pPr>
      <w:r>
        <w:rPr>
          <w:rFonts w:ascii="Arial" w:cs="Arial" w:eastAsia="Arial" w:hAnsi="Arial"/>
          <w:b w:val="false"/>
          <w:bCs w:val="false"/>
          <w:color w:val="1A1A1A"/>
          <w:sz w:val="22"/>
          <w:szCs w:val="22"/>
        </w:rPr>
        <w:t xml:space="preserve">Impossibilité de présence à Chimin Savann (20–23 mai 2026).</w:t>
      </w:r>
    </w:p>
    <w:p>
      <w:pPr>
        <w:pStyle w:val="ListParagraph"/>
        <w:numPr>
          <w:ilvl w:val="0"/>
          <w:numId w:val="2"/>
        </w:numPr>
        <w:spacing w:after="60" w:before="60"/>
      </w:pPr>
      <w:r>
        <w:rPr>
          <w:rFonts w:ascii="Arial" w:cs="Arial" w:eastAsia="Arial" w:hAnsi="Arial"/>
          <w:b w:val="false"/>
          <w:bCs w:val="false"/>
          <w:color w:val="1A1A1A"/>
          <w:sz w:val="22"/>
          <w:szCs w:val="22"/>
        </w:rPr>
        <w:t xml:space="preserve">Institutions publiques — elles peuvent être partenaires, pas candidates.</w:t>
      </w:r>
    </w:p>
    <w:p>
      <w:pPr>
        <w:spacing w:after="140" w:before="400"/>
      </w:pPr>
      <w:r>
        <w:rPr>
          <w:rFonts w:ascii="Arial" w:cs="Arial" w:eastAsia="Arial" w:hAnsi="Arial"/>
          <w:b/>
          <w:bCs/>
          <w:color w:val="4A3AB7"/>
          <w:sz w:val="36"/>
          <w:szCs w:val="36"/>
        </w:rPr>
        <w:t xml:space="preserve">4. Critères de sélection</w:t>
      </w:r>
    </w:p>
    <w:p>
      <w:pPr>
        <w:spacing w:after="80" w:before="80"/>
        <w:jc w:val="both"/>
      </w:pPr>
      <w:r>
        <w:rPr>
          <w:rFonts w:ascii="Arial" w:cs="Arial" w:eastAsia="Arial" w:hAnsi="Arial"/>
          <w:color w:val="1A1A1A"/>
          <w:sz w:val="22"/>
          <w:szCs w:val="22"/>
        </w:rPr>
        <w:t xml:space="preserve">Le CIP évalue chaque candidature selon cinq critères pondérés. Ces critères constituent la base du Cultural Impact Score attribué aux lauréats et publié le 23 mai 2026.</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5326"/>
        <w:gridCol w:w="1200"/>
      </w:tblGrid>
      <w:tr>
        <w:tc>
          <w:tcPr>
            <w:tcW w:type="dxa" w:w="500"/>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4A3AB7" w:val="clear"/>
            <w:tcMar>
              <w:top w:type="dxa" w:w="80"/>
              <w:left w:type="dxa" w:w="160"/>
              <w:bottom w:type="dxa" w:w="80"/>
              <w:right w:type="dxa" w:w="120"/>
            </w:tcMar>
          </w:tcPr>
          <w:p>
            <w:r>
              <w:rPr>
                <w:rFonts w:ascii="Arial" w:cs="Arial" w:eastAsia="Arial" w:hAnsi="Arial"/>
                <w:b/>
                <w:bCs/>
                <w:color w:val="FFFFFF"/>
                <w:sz w:val="20"/>
                <w:szCs w:val="20"/>
              </w:rPr>
              <w:t xml:space="preserve">Critère</w:t>
            </w:r>
          </w:p>
        </w:tc>
        <w:tc>
          <w:tcPr>
            <w:tcW w:type="dxa" w:w="5326"/>
            <w:tcBorders>
              <w:top w:val="single" w:color="CCCCCC" w:sz="1"/>
              <w:left w:val="single" w:color="CCCCCC" w:sz="1"/>
              <w:bottom w:val="single" w:color="CCCCCC" w:sz="1"/>
              <w:right w:val="single" w:color="CCCCCC" w:sz="1"/>
            </w:tcBorders>
            <w:shd w:fill="4A3AB7" w:val="clear"/>
            <w:tcMar>
              <w:top w:type="dxa" w:w="80"/>
              <w:left w:type="dxa" w:w="160"/>
              <w:bottom w:type="dxa" w:w="80"/>
              <w:right w:type="dxa" w:w="120"/>
            </w:tcMar>
          </w:tcPr>
          <w:p>
            <w:r>
              <w:rPr>
                <w:rFonts w:ascii="Arial" w:cs="Arial" w:eastAsia="Arial" w:hAnsi="Arial"/>
                <w:b/>
                <w:bCs/>
                <w:color w:val="FFFFFF"/>
                <w:sz w:val="20"/>
                <w:szCs w:val="20"/>
              </w:rPr>
              <w:t xml:space="preserve">Ce que nous évaluons</w:t>
            </w:r>
          </w:p>
        </w:tc>
        <w:tc>
          <w:tcPr>
            <w:tcW w:type="dxa" w:w="1200"/>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Poids</w:t>
            </w:r>
          </w:p>
        </w:tc>
      </w:tr>
      <w:tr>
        <w:tc>
          <w:tcPr>
            <w:tcW w:type="dxa" w:w="500"/>
            <w:tcBorders>
              <w:top w:val="single" w:color="CCCCCC" w:sz="1"/>
              <w:left w:val="single" w:color="CCCCCC" w:sz="1"/>
              <w:bottom w:val="single" w:color="CCCCCC" w:sz="1"/>
              <w:right w:val="single" w:color="CCCCCC" w:sz="1"/>
            </w:tcBorders>
            <w:shd w:fill="4A3AB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C1</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60"/>
              <w:bottom w:type="dxa" w:w="100"/>
              <w:right w:type="dxa" w:w="120"/>
            </w:tcMar>
            <w:vAlign w:val="center"/>
          </w:tcPr>
          <w:p>
            <w:r>
              <w:rPr>
                <w:rFonts w:ascii="Arial" w:cs="Arial" w:eastAsia="Arial" w:hAnsi="Arial"/>
                <w:b/>
                <w:bCs/>
                <w:color w:val="4A3AB7"/>
                <w:sz w:val="21"/>
                <w:szCs w:val="21"/>
              </w:rPr>
              <w:t xml:space="preserve">Impact territorial</w:t>
            </w:r>
          </w:p>
        </w:tc>
        <w:tc>
          <w:tcPr>
            <w:tcW w:type="dxa" w:w="53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jc w:val="both"/>
            </w:pPr>
            <w:r>
              <w:rPr>
                <w:rFonts w:ascii="Arial" w:cs="Arial" w:eastAsia="Arial" w:hAnsi="Arial"/>
                <w:color w:val="1A1A1A"/>
                <w:sz w:val="21"/>
                <w:szCs w:val="21"/>
              </w:rPr>
              <w:t xml:space="preserve">Impact culturel réel et documentable sur un territoire caribéen ou diaspora. L'ancrage n'est pas déclaratif — il est prouvé par des données concrètes.</w:t>
            </w:r>
          </w:p>
        </w:tc>
        <w:tc>
          <w:tcPr>
            <w:tcW w:type="dxa" w:w="1200"/>
            <w:tcBorders>
              <w:top w:val="single" w:color="CCCCCC" w:sz="1"/>
              <w:left w:val="single" w:color="CCCCCC" w:sz="1"/>
              <w:bottom w:val="single" w:color="CCCCCC" w:sz="1"/>
              <w:right w:val="single" w:color="CCCCCC" w:sz="1"/>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1"/>
                <w:szCs w:val="21"/>
              </w:rPr>
              <w:t xml:space="preserve">25 %</w:t>
            </w:r>
          </w:p>
        </w:tc>
      </w:tr>
      <w:tr>
        <w:tc>
          <w:tcPr>
            <w:tcW w:type="dxa" w:w="500"/>
            <w:tcBorders>
              <w:top w:val="single" w:color="CCCCCC" w:sz="1"/>
              <w:left w:val="single" w:color="CCCCCC" w:sz="1"/>
              <w:bottom w:val="single" w:color="CCCCCC" w:sz="1"/>
              <w:right w:val="single" w:color="CCCCCC" w:sz="1"/>
            </w:tcBorders>
            <w:shd w:fill="4A3AB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C2</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60"/>
              <w:bottom w:type="dxa" w:w="100"/>
              <w:right w:type="dxa" w:w="120"/>
            </w:tcMar>
            <w:vAlign w:val="center"/>
          </w:tcPr>
          <w:p>
            <w:r>
              <w:rPr>
                <w:rFonts w:ascii="Arial" w:cs="Arial" w:eastAsia="Arial" w:hAnsi="Arial"/>
                <w:b/>
                <w:bCs/>
                <w:color w:val="4A3AB7"/>
                <w:sz w:val="21"/>
                <w:szCs w:val="21"/>
              </w:rPr>
              <w:t xml:space="preserve">Portée diaspora</w:t>
            </w:r>
          </w:p>
        </w:tc>
        <w:tc>
          <w:tcPr>
            <w:tcW w:type="dxa" w:w="53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jc w:val="both"/>
            </w:pPr>
            <w:r>
              <w:rPr>
                <w:rFonts w:ascii="Arial" w:cs="Arial" w:eastAsia="Arial" w:hAnsi="Arial"/>
                <w:color w:val="1A1A1A"/>
                <w:sz w:val="21"/>
                <w:szCs w:val="21"/>
              </w:rPr>
              <w:t xml:space="preserve">Le projet crée ou renforce des liens entre la Martinique, les Caraïbes et la diaspora. Il contribue à la circulation de la culture caribéenne au-delà de son territoire d'origine.</w:t>
            </w:r>
          </w:p>
        </w:tc>
        <w:tc>
          <w:tcPr>
            <w:tcW w:type="dxa" w:w="1200"/>
            <w:tcBorders>
              <w:top w:val="single" w:color="CCCCCC" w:sz="1"/>
              <w:left w:val="single" w:color="CCCCCC" w:sz="1"/>
              <w:bottom w:val="single" w:color="CCCCCC" w:sz="1"/>
              <w:right w:val="single" w:color="CCCCCC" w:sz="1"/>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1"/>
                <w:szCs w:val="21"/>
              </w:rPr>
              <w:t xml:space="preserve">20 %</w:t>
            </w:r>
          </w:p>
        </w:tc>
      </w:tr>
      <w:tr>
        <w:tc>
          <w:tcPr>
            <w:tcW w:type="dxa" w:w="500"/>
            <w:tcBorders>
              <w:top w:val="single" w:color="CCCCCC" w:sz="1"/>
              <w:left w:val="single" w:color="CCCCCC" w:sz="1"/>
              <w:bottom w:val="single" w:color="CCCCCC" w:sz="1"/>
              <w:right w:val="single" w:color="CCCCCC" w:sz="1"/>
            </w:tcBorders>
            <w:shd w:fill="4A3AB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C3</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60"/>
              <w:bottom w:type="dxa" w:w="100"/>
              <w:right w:type="dxa" w:w="120"/>
            </w:tcMar>
            <w:vAlign w:val="center"/>
          </w:tcPr>
          <w:p>
            <w:r>
              <w:rPr>
                <w:rFonts w:ascii="Arial" w:cs="Arial" w:eastAsia="Arial" w:hAnsi="Arial"/>
                <w:b/>
                <w:bCs/>
                <w:color w:val="4A3AB7"/>
                <w:sz w:val="21"/>
                <w:szCs w:val="21"/>
              </w:rPr>
              <w:t xml:space="preserve">Transmission</w:t>
            </w:r>
          </w:p>
        </w:tc>
        <w:tc>
          <w:tcPr>
            <w:tcW w:type="dxa" w:w="53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jc w:val="both"/>
            </w:pPr>
            <w:r>
              <w:rPr>
                <w:rFonts w:ascii="Arial" w:cs="Arial" w:eastAsia="Arial" w:hAnsi="Arial"/>
                <w:color w:val="1A1A1A"/>
                <w:sz w:val="21"/>
                <w:szCs w:val="21"/>
              </w:rPr>
              <w:t xml:space="preserve">Dimension de formation, médiation ou transmission culturelle. Le projet contribue à la pérennité d'un savoir ou d'une pratique.</w:t>
            </w:r>
          </w:p>
        </w:tc>
        <w:tc>
          <w:tcPr>
            <w:tcW w:type="dxa" w:w="1200"/>
            <w:tcBorders>
              <w:top w:val="single" w:color="CCCCCC" w:sz="1"/>
              <w:left w:val="single" w:color="CCCCCC" w:sz="1"/>
              <w:bottom w:val="single" w:color="CCCCCC" w:sz="1"/>
              <w:right w:val="single" w:color="CCCCCC" w:sz="1"/>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1"/>
                <w:szCs w:val="21"/>
              </w:rPr>
              <w:t xml:space="preserve">20 %</w:t>
            </w:r>
          </w:p>
        </w:tc>
      </w:tr>
      <w:tr>
        <w:tc>
          <w:tcPr>
            <w:tcW w:type="dxa" w:w="500"/>
            <w:tcBorders>
              <w:top w:val="single" w:color="CCCCCC" w:sz="1"/>
              <w:left w:val="single" w:color="CCCCCC" w:sz="1"/>
              <w:bottom w:val="single" w:color="CCCCCC" w:sz="1"/>
              <w:right w:val="single" w:color="CCCCCC" w:sz="1"/>
            </w:tcBorders>
            <w:shd w:fill="4A3AB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C4</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60"/>
              <w:bottom w:type="dxa" w:w="100"/>
              <w:right w:type="dxa" w:w="120"/>
            </w:tcMar>
            <w:vAlign w:val="center"/>
          </w:tcPr>
          <w:p>
            <w:r>
              <w:rPr>
                <w:rFonts w:ascii="Arial" w:cs="Arial" w:eastAsia="Arial" w:hAnsi="Arial"/>
                <w:b/>
                <w:bCs/>
                <w:color w:val="4A3AB7"/>
                <w:sz w:val="21"/>
                <w:szCs w:val="21"/>
              </w:rPr>
              <w:t xml:space="preserve">Innovation culturelle</w:t>
            </w:r>
          </w:p>
        </w:tc>
        <w:tc>
          <w:tcPr>
            <w:tcW w:type="dxa" w:w="53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jc w:val="both"/>
            </w:pPr>
            <w:r>
              <w:rPr>
                <w:rFonts w:ascii="Arial" w:cs="Arial" w:eastAsia="Arial" w:hAnsi="Arial"/>
                <w:color w:val="1A1A1A"/>
                <w:sz w:val="21"/>
                <w:szCs w:val="21"/>
              </w:rPr>
              <w:t xml:space="preserve">Approche nouvelle dans la forme, le modèle, les outils ou le public. L'innovation peut être sociale, artistique ou organisationnelle.</w:t>
            </w:r>
          </w:p>
        </w:tc>
        <w:tc>
          <w:tcPr>
            <w:tcW w:type="dxa" w:w="1200"/>
            <w:tcBorders>
              <w:top w:val="single" w:color="CCCCCC" w:sz="1"/>
              <w:left w:val="single" w:color="CCCCCC" w:sz="1"/>
              <w:bottom w:val="single" w:color="CCCCCC" w:sz="1"/>
              <w:right w:val="single" w:color="CCCCCC" w:sz="1"/>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1"/>
                <w:szCs w:val="21"/>
              </w:rPr>
              <w:t xml:space="preserve">20 %</w:t>
            </w:r>
          </w:p>
        </w:tc>
      </w:tr>
      <w:tr>
        <w:tc>
          <w:tcPr>
            <w:tcW w:type="dxa" w:w="500"/>
            <w:tcBorders>
              <w:top w:val="single" w:color="CCCCCC" w:sz="1"/>
              <w:left w:val="single" w:color="CCCCCC" w:sz="1"/>
              <w:bottom w:val="single" w:color="CCCCCC" w:sz="1"/>
              <w:right w:val="single" w:color="CCCCCC" w:sz="1"/>
            </w:tcBorders>
            <w:shd w:fill="4A3AB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C5</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60"/>
              <w:bottom w:type="dxa" w:w="100"/>
              <w:right w:type="dxa" w:w="120"/>
            </w:tcMar>
            <w:vAlign w:val="center"/>
          </w:tcPr>
          <w:p>
            <w:r>
              <w:rPr>
                <w:rFonts w:ascii="Arial" w:cs="Arial" w:eastAsia="Arial" w:hAnsi="Arial"/>
                <w:b/>
                <w:bCs/>
                <w:color w:val="4A3AB7"/>
                <w:sz w:val="21"/>
                <w:szCs w:val="21"/>
              </w:rPr>
              <w:t xml:space="preserve">Contribution CC</w:t>
            </w:r>
          </w:p>
        </w:tc>
        <w:tc>
          <w:tcPr>
            <w:tcW w:type="dxa" w:w="53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jc w:val="both"/>
            </w:pPr>
            <w:r>
              <w:rPr>
                <w:rFonts w:ascii="Arial" w:cs="Arial" w:eastAsia="Arial" w:hAnsi="Arial"/>
                <w:color w:val="1A1A1A"/>
                <w:sz w:val="21"/>
                <w:szCs w:val="21"/>
              </w:rPr>
              <w:t xml:space="preserve">Adoption du framework Culture Connect : contribution volontaire, conformité, ouverture à l'évaluation et à la publication du score.</w:t>
            </w:r>
          </w:p>
        </w:tc>
        <w:tc>
          <w:tcPr>
            <w:tcW w:type="dxa" w:w="1200"/>
            <w:tcBorders>
              <w:top w:val="single" w:color="CCCCCC" w:sz="1"/>
              <w:left w:val="single" w:color="CCCCCC" w:sz="1"/>
              <w:bottom w:val="single" w:color="CCCCCC" w:sz="1"/>
              <w:right w:val="single" w:color="CCCCCC" w:sz="1"/>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1"/>
                <w:szCs w:val="21"/>
              </w:rPr>
              <w:t xml:space="preserve">15 %</w:t>
            </w:r>
          </w:p>
        </w:tc>
      </w:tr>
    </w:tbl>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F5E5A" w:sz="20"/>
              <w:bottom w:val="none" w:color="FFFFFF" w:sz="0"/>
              <w:right w:val="none" w:color="FFFFFF" w:sz="0"/>
            </w:tcBorders>
            <w:shd w:fill="F1EFE8" w:val="clear"/>
            <w:tcMar>
              <w:top w:type="dxa" w:w="120"/>
              <w:left w:type="dxa" w:w="240"/>
              <w:bottom w:type="dxa" w:w="120"/>
              <w:right w:type="dxa" w:w="120"/>
            </w:tcMar>
          </w:tcPr>
          <w:p>
            <w:pPr>
              <w:spacing w:after="40" w:before="40"/>
            </w:pPr>
            <w:r>
              <w:rPr>
                <w:rFonts w:ascii="Arial" w:cs="Arial" w:eastAsia="Arial" w:hAnsi="Arial"/>
                <w:i/>
                <w:iCs/>
                <w:color w:val="5F5E5A"/>
                <w:sz w:val="22"/>
                <w:szCs w:val="22"/>
              </w:rPr>
              <w:t xml:space="preserve">Un projet peut être faible sur un critère et retenu s'il est exceptionnel sur les autres. Le CIP évalue l'ensemble — pas la somme mécanique des scores.</w:t>
            </w:r>
          </w:p>
        </w:tc>
      </w:tr>
    </w:tbl>
    <w:p>
      <w:pPr>
        <w:spacing w:after="140" w:before="400"/>
      </w:pPr>
      <w:r>
        <w:rPr>
          <w:rFonts w:ascii="Arial" w:cs="Arial" w:eastAsia="Arial" w:hAnsi="Arial"/>
          <w:b/>
          <w:bCs/>
          <w:color w:val="4A3AB7"/>
          <w:sz w:val="36"/>
          <w:szCs w:val="36"/>
        </w:rPr>
        <w:t xml:space="preserve">5. Ce que reçoivent les projets sélectionnés</w:t>
      </w:r>
    </w:p>
    <w:p>
      <w:pPr>
        <w:spacing w:after="80" w:before="80"/>
        <w:jc w:val="both"/>
      </w:pPr>
      <w:r>
        <w:rPr>
          <w:rFonts w:ascii="Arial" w:cs="Arial" w:eastAsia="Arial" w:hAnsi="Arial"/>
          <w:color w:val="1A1A1A"/>
          <w:sz w:val="22"/>
          <w:szCs w:val="22"/>
        </w:rPr>
        <w:t xml:space="preserve">Entre 3 et 5 projets seront retenus. Chacun bénéficie des cinq éléments suivants :</w:t>
      </w:r>
    </w:p>
    <w:p>
      <w:pPr>
        <w:spacing w:after="100" w:before="0"/>
      </w:pPr>
    </w:p>
    <w:p>
      <w:pPr>
        <w:pStyle w:val="ListParagraph"/>
        <w:numPr>
          <w:ilvl w:val="0"/>
          <w:numId w:val="2"/>
        </w:numPr>
        <w:spacing w:after="60" w:before="60"/>
      </w:pPr>
      <w:r>
        <w:rPr>
          <w:rFonts w:ascii="Arial" w:cs="Arial" w:eastAsia="Arial" w:hAnsi="Arial"/>
          <w:b w:val="false"/>
          <w:bCs w:val="false"/>
          <w:color w:val="1A1A1A"/>
          <w:sz w:val="22"/>
          <w:szCs w:val="22"/>
        </w:rPr>
        <w:t xml:space="preserve">Label Culture Connect Certified — reconnaissance publique permanente, associée aux supports de communication du projet.</w:t>
      </w:r>
    </w:p>
    <w:p>
      <w:pPr>
        <w:pStyle w:val="ListParagraph"/>
        <w:numPr>
          <w:ilvl w:val="0"/>
          <w:numId w:val="2"/>
        </w:numPr>
        <w:spacing w:after="60" w:before="60"/>
      </w:pPr>
      <w:r>
        <w:rPr>
          <w:rFonts w:ascii="Arial" w:cs="Arial" w:eastAsia="Arial" w:hAnsi="Arial"/>
          <w:b w:val="false"/>
          <w:bCs w:val="false"/>
          <w:color w:val="1A1A1A"/>
          <w:sz w:val="22"/>
          <w:szCs w:val="22"/>
        </w:rPr>
        <w:t xml:space="preserve">Cultural Impact Score — évaluation propriétaire produite par le CIP, communiquée en privé 30 jours avant Chimin Savann, publiée sur kiltikonet.fr le 23 mai 2026.</w:t>
      </w:r>
    </w:p>
    <w:p>
      <w:pPr>
        <w:pStyle w:val="ListParagraph"/>
        <w:numPr>
          <w:ilvl w:val="0"/>
          <w:numId w:val="2"/>
        </w:numPr>
        <w:spacing w:after="60" w:before="60"/>
      </w:pPr>
      <w:r>
        <w:rPr>
          <w:rFonts w:ascii="Arial" w:cs="Arial" w:eastAsia="Arial" w:hAnsi="Arial"/>
          <w:b w:val="false"/>
          <w:bCs w:val="false"/>
          <w:color w:val="1A1A1A"/>
          <w:sz w:val="22"/>
          <w:szCs w:val="22"/>
        </w:rPr>
        <w:t xml:space="preserve">FREK-ID — empreinte numérique unique intégrée à l'infrastructure CVLN, permanente et portable au-delà de CC2026.</w:t>
      </w:r>
    </w:p>
    <w:p>
      <w:pPr>
        <w:pStyle w:val="ListParagraph"/>
        <w:numPr>
          <w:ilvl w:val="0"/>
          <w:numId w:val="2"/>
        </w:numPr>
        <w:spacing w:after="60" w:before="60"/>
      </w:pPr>
      <w:r>
        <w:rPr>
          <w:rFonts w:ascii="Arial" w:cs="Arial" w:eastAsia="Arial" w:hAnsi="Arial"/>
          <w:b w:val="false"/>
          <w:bCs w:val="false"/>
          <w:color w:val="1A1A1A"/>
          <w:sz w:val="22"/>
          <w:szCs w:val="22"/>
        </w:rPr>
        <w:t xml:space="preserve">Présence à Chimin Savann (20–23 mai) — intégration au programme officiel sous l'un des formats : conférence/table ronde, atelier/workshop, performance scénique.</w:t>
      </w:r>
    </w:p>
    <w:p>
      <w:pPr>
        <w:pStyle w:val="ListParagraph"/>
        <w:numPr>
          <w:ilvl w:val="0"/>
          <w:numId w:val="2"/>
        </w:numPr>
        <w:spacing w:after="60" w:before="60"/>
      </w:pPr>
      <w:r>
        <w:rPr>
          <w:rFonts w:ascii="Arial" w:cs="Arial" w:eastAsia="Arial" w:hAnsi="Arial"/>
          <w:b w:val="false"/>
          <w:bCs w:val="false"/>
          <w:color w:val="1A1A1A"/>
          <w:sz w:val="22"/>
          <w:szCs w:val="22"/>
        </w:rPr>
        <w:t xml:space="preserve">Accès au réseau Culture Connect — partenaires institutionnels, caribéens, diaspora et économiques de l'écosystème CVLN.</w:t>
      </w:r>
    </w:p>
    <w:p>
      <w:pPr>
        <w:spacing w:after="140" w:before="400"/>
      </w:pPr>
      <w:r>
        <w:rPr>
          <w:rFonts w:ascii="Arial" w:cs="Arial" w:eastAsia="Arial" w:hAnsi="Arial"/>
          <w:b/>
          <w:bCs/>
          <w:color w:val="4A3AB7"/>
          <w:sz w:val="36"/>
          <w:szCs w:val="36"/>
        </w:rPr>
        <w:t xml:space="preserve">6. Engagements du porteur</w:t>
      </w:r>
    </w:p>
    <w:p>
      <w:pPr>
        <w:spacing w:after="80" w:before="80"/>
        <w:jc w:val="both"/>
      </w:pPr>
      <w:r>
        <w:rPr>
          <w:rFonts w:ascii="Arial" w:cs="Arial" w:eastAsia="Arial" w:hAnsi="Arial"/>
          <w:color w:val="1A1A1A"/>
          <w:sz w:val="22"/>
          <w:szCs w:val="22"/>
        </w:rPr>
        <w:t xml:space="preserve">En déposant une candidature, le porteur s'engage formellement sur les cinq points suivants. Ces engagements conditionnent le maintien du label CC Certified.</w:t>
      </w:r>
    </w:p>
    <w:p>
      <w:pPr>
        <w:spacing w:after="100" w:before="0"/>
      </w:pPr>
    </w:p>
    <w:p>
      <w:pPr>
        <w:pStyle w:val="ListParagraph"/>
        <w:numPr>
          <w:ilvl w:val="0"/>
          <w:numId w:val="2"/>
        </w:numPr>
        <w:spacing w:after="60" w:before="60"/>
      </w:pPr>
      <w:r>
        <w:rPr>
          <w:rFonts w:ascii="Arial" w:cs="Arial" w:eastAsia="Arial" w:hAnsi="Arial"/>
          <w:b w:val="false"/>
          <w:bCs w:val="false"/>
          <w:color w:val="1A1A1A"/>
          <w:sz w:val="22"/>
          <w:szCs w:val="22"/>
        </w:rPr>
        <w:t xml:space="preserve">Adoption du framework Culture Connect — contribution volontaire, conformité au standard, évaluation par le CIP.</w:t>
      </w:r>
    </w:p>
    <w:p>
      <w:pPr>
        <w:pStyle w:val="ListParagraph"/>
        <w:numPr>
          <w:ilvl w:val="0"/>
          <w:numId w:val="2"/>
        </w:numPr>
        <w:spacing w:after="60" w:before="60"/>
      </w:pPr>
      <w:r>
        <w:rPr>
          <w:rFonts w:ascii="Arial" w:cs="Arial" w:eastAsia="Arial" w:hAnsi="Arial"/>
          <w:b w:val="false"/>
          <w:bCs w:val="false"/>
          <w:color w:val="1A1A1A"/>
          <w:sz w:val="22"/>
          <w:szCs w:val="22"/>
        </w:rPr>
        <w:t xml:space="preserve">Fourniture des données d'impact — transmission au CIP avant le 7 mai 2026.</w:t>
      </w:r>
    </w:p>
    <w:p>
      <w:pPr>
        <w:pStyle w:val="ListParagraph"/>
        <w:numPr>
          <w:ilvl w:val="0"/>
          <w:numId w:val="2"/>
        </w:numPr>
        <w:spacing w:after="60" w:before="60"/>
      </w:pPr>
      <w:r>
        <w:rPr>
          <w:rFonts w:ascii="Arial" w:cs="Arial" w:eastAsia="Arial" w:hAnsi="Arial"/>
          <w:b w:val="false"/>
          <w:bCs w:val="false"/>
          <w:color w:val="1A1A1A"/>
          <w:sz w:val="22"/>
          <w:szCs w:val="22"/>
        </w:rPr>
        <w:t xml:space="preserve">Présence effective à Chimin Savann — du 20 au 23 mai 2026.</w:t>
      </w:r>
    </w:p>
    <w:p>
      <w:pPr>
        <w:pStyle w:val="ListParagraph"/>
        <w:numPr>
          <w:ilvl w:val="0"/>
          <w:numId w:val="2"/>
        </w:numPr>
        <w:spacing w:after="60" w:before="60"/>
      </w:pPr>
      <w:r>
        <w:rPr>
          <w:rFonts w:ascii="Arial" w:cs="Arial" w:eastAsia="Arial" w:hAnsi="Arial"/>
          <w:b w:val="false"/>
          <w:bCs w:val="false"/>
          <w:color w:val="1A1A1A"/>
          <w:sz w:val="22"/>
          <w:szCs w:val="22"/>
        </w:rPr>
        <w:t xml:space="preserve">Acceptation de la publication du score — sur kiltikonet.fr le 23 mai 2026. Non négociable.</w:t>
      </w:r>
    </w:p>
    <w:p>
      <w:pPr>
        <w:pStyle w:val="ListParagraph"/>
        <w:numPr>
          <w:ilvl w:val="0"/>
          <w:numId w:val="2"/>
        </w:numPr>
        <w:spacing w:after="60" w:before="60"/>
      </w:pPr>
      <w:r>
        <w:rPr>
          <w:rFonts w:ascii="Arial" w:cs="Arial" w:eastAsia="Arial" w:hAnsi="Arial"/>
          <w:b w:val="false"/>
          <w:bCs w:val="false"/>
          <w:color w:val="1A1A1A"/>
          <w:sz w:val="22"/>
          <w:szCs w:val="22"/>
        </w:rPr>
        <w:t xml:space="preserve">Communication CC Certified — mention du label sur les supports pendant la durée de l'édition 2026.</w:t>
      </w:r>
    </w:p>
    <w:p>
      <w:pPr>
        <w:spacing w:after="140" w:before="400"/>
      </w:pPr>
      <w:r>
        <w:rPr>
          <w:rFonts w:ascii="Arial" w:cs="Arial" w:eastAsia="Arial" w:hAnsi="Arial"/>
          <w:b/>
          <w:bCs/>
          <w:color w:val="4A3AB7"/>
          <w:sz w:val="36"/>
          <w:szCs w:val="36"/>
        </w:rPr>
        <w:t xml:space="preserve">7. Modalités de candidature</w:t>
      </w:r>
    </w:p>
    <w:p>
      <w:pPr>
        <w:spacing w:after="100" w:before="280"/>
      </w:pPr>
      <w:r>
        <w:rPr>
          <w:rFonts w:ascii="Arial" w:cs="Arial" w:eastAsia="Arial" w:hAnsi="Arial"/>
          <w:b/>
          <w:bCs/>
          <w:color w:val="0F6E56"/>
          <w:sz w:val="26"/>
          <w:szCs w:val="26"/>
        </w:rPr>
        <w:t xml:space="preserve">7.1 Contenu du dossier</w:t>
      </w:r>
    </w:p>
    <w:p>
      <w:pPr>
        <w:spacing w:after="80" w:before="80"/>
        <w:jc w:val="both"/>
      </w:pPr>
      <w:r>
        <w:rPr>
          <w:rFonts w:ascii="Arial" w:cs="Arial" w:eastAsia="Arial" w:hAnsi="Arial"/>
          <w:color w:val="1A1A1A"/>
          <w:sz w:val="22"/>
          <w:szCs w:val="22"/>
        </w:rPr>
        <w:t xml:space="preserve">Chaque candidature comprend les éléments suivants :</w:t>
      </w:r>
    </w:p>
    <w:p>
      <w:pPr>
        <w:spacing w:after="80" w:before="0"/>
      </w:pPr>
    </w:p>
    <w:p>
      <w:pPr>
        <w:pStyle w:val="ListParagraph"/>
        <w:numPr>
          <w:ilvl w:val="0"/>
          <w:numId w:val="2"/>
        </w:numPr>
        <w:spacing w:after="60" w:before="60"/>
      </w:pPr>
      <w:r>
        <w:rPr>
          <w:rFonts w:ascii="Arial" w:cs="Arial" w:eastAsia="Arial" w:hAnsi="Arial"/>
          <w:b w:val="false"/>
          <w:bCs w:val="false"/>
          <w:color w:val="1A1A1A"/>
          <w:sz w:val="22"/>
          <w:szCs w:val="22"/>
        </w:rPr>
        <w:t xml:space="preserve">Présentation du porteur — nom, statut, territoire, contacts.</w:t>
      </w:r>
    </w:p>
    <w:p>
      <w:pPr>
        <w:pStyle w:val="ListParagraph"/>
        <w:numPr>
          <w:ilvl w:val="0"/>
          <w:numId w:val="2"/>
        </w:numPr>
        <w:spacing w:after="60" w:before="60"/>
      </w:pPr>
      <w:r>
        <w:rPr>
          <w:rFonts w:ascii="Arial" w:cs="Arial" w:eastAsia="Arial" w:hAnsi="Arial"/>
          <w:b w:val="false"/>
          <w:bCs w:val="false"/>
          <w:color w:val="1A1A1A"/>
          <w:sz w:val="22"/>
          <w:szCs w:val="22"/>
        </w:rPr>
        <w:t xml:space="preserve">Description du projet — nature, objectifs, public, territoire d'impact (2 pages maximum).</w:t>
      </w:r>
    </w:p>
    <w:p>
      <w:pPr>
        <w:pStyle w:val="ListParagraph"/>
        <w:numPr>
          <w:ilvl w:val="0"/>
          <w:numId w:val="2"/>
        </w:numPr>
        <w:spacing w:after="60" w:before="60"/>
      </w:pPr>
      <w:r>
        <w:rPr>
          <w:rFonts w:ascii="Arial" w:cs="Arial" w:eastAsia="Arial" w:hAnsi="Arial"/>
          <w:b w:val="false"/>
          <w:bCs w:val="false"/>
          <w:color w:val="1A1A1A"/>
          <w:sz w:val="22"/>
          <w:szCs w:val="22"/>
        </w:rPr>
        <w:t xml:space="preserve">Preuves d'impact — données quantitatives et qualitatives documentant l'impact culturel existant ou projeté.</w:t>
      </w:r>
    </w:p>
    <w:p>
      <w:pPr>
        <w:pStyle w:val="ListParagraph"/>
        <w:numPr>
          <w:ilvl w:val="0"/>
          <w:numId w:val="2"/>
        </w:numPr>
        <w:spacing w:after="60" w:before="60"/>
      </w:pPr>
      <w:r>
        <w:rPr>
          <w:rFonts w:ascii="Arial" w:cs="Arial" w:eastAsia="Arial" w:hAnsi="Arial"/>
          <w:b w:val="false"/>
          <w:bCs w:val="false"/>
          <w:color w:val="1A1A1A"/>
          <w:sz w:val="22"/>
          <w:szCs w:val="22"/>
        </w:rPr>
        <w:t xml:space="preserve">Lien diaspora-Caraïbes — explication du lien entre le projet et le territoire caribéen ou la diaspora.</w:t>
      </w:r>
    </w:p>
    <w:p>
      <w:pPr>
        <w:pStyle w:val="ListParagraph"/>
        <w:numPr>
          <w:ilvl w:val="0"/>
          <w:numId w:val="2"/>
        </w:numPr>
        <w:spacing w:after="60" w:before="60"/>
      </w:pPr>
      <w:r>
        <w:rPr>
          <w:rFonts w:ascii="Arial" w:cs="Arial" w:eastAsia="Arial" w:hAnsi="Arial"/>
          <w:b w:val="false"/>
          <w:bCs w:val="false"/>
          <w:color w:val="1A1A1A"/>
          <w:sz w:val="22"/>
          <w:szCs w:val="22"/>
        </w:rPr>
        <w:t xml:space="preserve">Format souhaité à Chimin Savann — conférence, atelier ou performance (avec justification).</w:t>
      </w:r>
    </w:p>
    <w:p>
      <w:pPr>
        <w:pStyle w:val="ListParagraph"/>
        <w:numPr>
          <w:ilvl w:val="0"/>
          <w:numId w:val="2"/>
        </w:numPr>
        <w:spacing w:after="60" w:before="60"/>
      </w:pPr>
      <w:r>
        <w:rPr>
          <w:rFonts w:ascii="Arial" w:cs="Arial" w:eastAsia="Arial" w:hAnsi="Arial"/>
          <w:b w:val="false"/>
          <w:bCs w:val="false"/>
          <w:color w:val="1A1A1A"/>
          <w:sz w:val="22"/>
          <w:szCs w:val="22"/>
        </w:rPr>
        <w:t xml:space="preserve">Engagement Culture Connect — déclaration d'acceptation du framework et de la publication du score.</w:t>
      </w:r>
    </w:p>
    <w:p>
      <w:pPr>
        <w:spacing w:after="120" w:before="0"/>
      </w:pPr>
    </w:p>
    <w:p>
      <w:pPr>
        <w:spacing w:after="100" w:before="280"/>
      </w:pPr>
      <w:r>
        <w:rPr>
          <w:rFonts w:ascii="Arial" w:cs="Arial" w:eastAsia="Arial" w:hAnsi="Arial"/>
          <w:b/>
          <w:bCs/>
          <w:color w:val="0F6E56"/>
          <w:sz w:val="26"/>
          <w:szCs w:val="26"/>
        </w:rPr>
        <w:t xml:space="preserve">7.2 Deux canaux de dépôt — au choix du candidat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CCCCCC" w:sz="1"/>
              <w:left w:val="single" w:color="CCCCCC" w:sz="1"/>
              <w:bottom w:val="single" w:color="CCCCCC" w:sz="1"/>
              <w:right w:val="single" w:color="CCCCCC" w:sz="1"/>
            </w:tcBorders>
            <w:shd w:fill="EEEDFE" w:val="clear"/>
            <w:tcMar>
              <w:top w:type="dxa" w:w="120"/>
              <w:left w:type="dxa" w:w="200"/>
              <w:bottom w:type="dxa" w:w="120"/>
              <w:right w:type="dxa" w:w="200"/>
            </w:tcMar>
          </w:tcPr>
          <w:p>
            <w:pPr>
              <w:spacing w:after="100" w:before="0"/>
            </w:pPr>
            <w:r>
              <w:rPr>
                <w:rFonts w:ascii="Arial" w:cs="Arial" w:eastAsia="Arial" w:hAnsi="Arial"/>
                <w:b/>
                <w:bCs/>
                <w:color w:val="4A3AB7"/>
                <w:sz w:val="22"/>
                <w:szCs w:val="22"/>
              </w:rPr>
              <w:t xml:space="preserve">Canal A — Formulaire en ligne</w:t>
            </w:r>
          </w:p>
          <w:p>
            <w:pPr>
              <w:spacing w:after="100" w:before="0"/>
              <w:jc w:val="both"/>
            </w:pPr>
            <w:r>
              <w:rPr>
                <w:rFonts w:ascii="Arial" w:cs="Arial" w:eastAsia="Arial" w:hAnsi="Arial"/>
                <w:color w:val="1A1A1A"/>
                <w:sz w:val="21"/>
                <w:szCs w:val="21"/>
              </w:rPr>
              <w:t xml:space="preserve">Formulaire disponible sur kiltikonet.fr à partir du 15 avril 2026. Dépôt guidé, confirmation automatique par email.</w:t>
            </w:r>
          </w:p>
          <w:p>
            <w:r>
              <w:rPr>
                <w:rFonts w:ascii="Arial" w:cs="Arial" w:eastAsia="Arial" w:hAnsi="Arial"/>
                <w:b/>
                <w:bCs/>
                <w:color w:val="4A3AB7"/>
                <w:sz w:val="21"/>
                <w:szCs w:val="21"/>
              </w:rPr>
              <w:t xml:space="preserve">kiltikonet.fr/appel-2026</w:t>
            </w:r>
          </w:p>
        </w:tc>
        <w:tc>
          <w:tcPr>
            <w:tcW w:type="dxa" w:w="4626"/>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pPr>
              <w:spacing w:after="100" w:before="0"/>
            </w:pPr>
            <w:r>
              <w:rPr>
                <w:rFonts w:ascii="Arial" w:cs="Arial" w:eastAsia="Arial" w:hAnsi="Arial"/>
                <w:b/>
                <w:bCs/>
                <w:color w:val="0F6E56"/>
                <w:sz w:val="22"/>
                <w:szCs w:val="22"/>
              </w:rPr>
              <w:t xml:space="preserve">Canal B — Email direct</w:t>
            </w:r>
          </w:p>
          <w:p>
            <w:pPr>
              <w:spacing w:after="100" w:before="0"/>
              <w:jc w:val="both"/>
            </w:pPr>
            <w:r>
              <w:rPr>
                <w:rFonts w:ascii="Arial" w:cs="Arial" w:eastAsia="Arial" w:hAnsi="Arial"/>
                <w:color w:val="1A1A1A"/>
                <w:sz w:val="21"/>
                <w:szCs w:val="21"/>
              </w:rPr>
              <w:t xml:space="preserve">Envoi du dossier complet (PDF ou Word) à l'adresse ci-dessous. Accusé de réception sous 48h ouvrées.</w:t>
            </w:r>
          </w:p>
          <w:p>
            <w:r>
              <w:rPr>
                <w:rFonts w:ascii="Arial" w:cs="Arial" w:eastAsia="Arial" w:hAnsi="Arial"/>
                <w:b/>
                <w:bCs/>
                <w:color w:val="0F6E56"/>
                <w:sz w:val="21"/>
                <w:szCs w:val="21"/>
              </w:rPr>
              <w:t xml:space="preserve">appel2026@kiltikonet.fr</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F5E5A" w:sz="20"/>
              <w:bottom w:val="none" w:color="FFFFFF" w:sz="0"/>
              <w:right w:val="none" w:color="FFFFFF" w:sz="0"/>
            </w:tcBorders>
            <w:shd w:fill="F1EFE8" w:val="clear"/>
            <w:tcMar>
              <w:top w:type="dxa" w:w="120"/>
              <w:left w:type="dxa" w:w="240"/>
              <w:bottom w:type="dxa" w:w="120"/>
              <w:right w:type="dxa" w:w="120"/>
            </w:tcMar>
          </w:tcPr>
          <w:p>
            <w:pPr>
              <w:spacing w:after="40" w:before="40"/>
            </w:pPr>
            <w:r>
              <w:rPr>
                <w:rFonts w:ascii="Arial" w:cs="Arial" w:eastAsia="Arial" w:hAnsi="Arial"/>
                <w:i/>
                <w:iCs/>
                <w:color w:val="5F5E5A"/>
                <w:sz w:val="22"/>
                <w:szCs w:val="22"/>
              </w:rPr>
              <w:t xml:space="preserve">Les deux canaux sont équivalents. Le choix du canal n'influence pas l'évaluation du dossier.</w:t>
            </w:r>
          </w:p>
        </w:tc>
      </w:tr>
    </w:tbl>
    <w:p>
      <w:pPr>
        <w:spacing w:after="140" w:before="400"/>
      </w:pPr>
      <w:r>
        <w:rPr>
          <w:rFonts w:ascii="Arial" w:cs="Arial" w:eastAsia="Arial" w:hAnsi="Arial"/>
          <w:b/>
          <w:bCs/>
          <w:color w:val="4A3AB7"/>
          <w:sz w:val="36"/>
          <w:szCs w:val="36"/>
        </w:rPr>
        <w:t xml:space="preserve">8. Calendrier</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026"/>
      </w:tblGrid>
      <w:tr>
        <w:tc>
          <w:tcPr>
            <w:tcW w:type="dxa" w:w="3800"/>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2200"/>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3026"/>
            <w:tcBorders>
              <w:top w:val="single" w:color="CCCCCC" w:sz="1"/>
              <w:left w:val="single" w:color="CCCCCC" w:sz="1"/>
              <w:bottom w:val="single" w:color="CCCCCC" w:sz="1"/>
              <w:right w:val="single" w:color="CCCCCC" w:sz="1"/>
            </w:tcBorders>
            <w:shd w:fill="4A3AB7"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1A1A1A"/>
                <w:sz w:val="20"/>
                <w:szCs w:val="20"/>
              </w:rPr>
              <w:t xml:space="preserve">Ouverture de l'appel à projet</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15 avril 2026</w:t>
            </w:r>
          </w:p>
        </w:tc>
        <w:tc>
          <w:tcPr>
            <w:tcW w:type="dxa" w:w="3026"/>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5F5E5A"/>
                <w:sz w:val="20"/>
                <w:szCs w:val="20"/>
              </w:rPr>
              <w:t xml:space="preserve">Kilti Konet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 limite de candidature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30 avril 2026 — 23h59</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Porteurs de projet</w:t>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1A1A1A"/>
                <w:sz w:val="20"/>
                <w:szCs w:val="20"/>
              </w:rPr>
              <w:t xml:space="preserve">Instruction des dossiers par le CIP</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1er – 7 mai 2026</w:t>
            </w:r>
          </w:p>
        </w:tc>
        <w:tc>
          <w:tcPr>
            <w:tcW w:type="dxa" w:w="3026"/>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5F5E5A"/>
                <w:sz w:val="20"/>
                <w:szCs w:val="20"/>
              </w:rPr>
              <w:t xml:space="preserve">CIP / Kilti Konet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Annonce des projets sélectionnés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10 mai 2026</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Kilti Konet</w:t>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1A1A1A"/>
                <w:sz w:val="20"/>
                <w:szCs w:val="20"/>
              </w:rPr>
              <w:t xml:space="preserve">Communication privée du score aux lauréats</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10 – 19 mai 2026</w:t>
            </w:r>
          </w:p>
        </w:tc>
        <w:tc>
          <w:tcPr>
            <w:tcW w:type="dxa" w:w="3026"/>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5F5E5A"/>
                <w:sz w:val="20"/>
                <w:szCs w:val="20"/>
              </w:rPr>
              <w:t xml:space="preserve">CIP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Intégration au programme Chimin Savann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10 – 19 mai 2026</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Équipe production</w:t>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1A1A1A"/>
                <w:sz w:val="20"/>
                <w:szCs w:val="20"/>
              </w:rPr>
              <w:t xml:space="preserve">Chimin Savann — événement</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20 – 23 mai 2026</w:t>
            </w:r>
          </w:p>
        </w:tc>
        <w:tc>
          <w:tcPr>
            <w:tcW w:type="dxa" w:w="3026"/>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color w:val="5F5E5A"/>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Publication des Cultural Impact Scores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A3AB7"/>
                <w:sz w:val="20"/>
                <w:szCs w:val="20"/>
              </w:rPr>
              <w:t xml:space="preserve">23 mai 2026</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kiltikonet.fr</w:t>
            </w:r>
          </w:p>
        </w:tc>
      </w:tr>
    </w:tbl>
    <w:p>
      <w:pPr>
        <w:spacing w:after="140" w:before="400"/>
      </w:pPr>
      <w:r>
        <w:rPr>
          <w:rFonts w:ascii="Arial" w:cs="Arial" w:eastAsia="Arial" w:hAnsi="Arial"/>
          <w:b/>
          <w:bCs/>
          <w:color w:val="4A3AB7"/>
          <w:sz w:val="36"/>
          <w:szCs w:val="36"/>
        </w:rPr>
        <w:t xml:space="preserve">9. Contact et informations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Structure émettrice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Kilti Konet — Association loi 1901</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Territoire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Martinique, France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Formulaire en ligne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kiltikonet.fr/appel-2026</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Email candidatures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appel2026@kiltikonet.fr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Email général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contact@kiltikonet.fr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Site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kiltikonet.fr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Date limite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avril 2026 — 23h59 (heure Martinique)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Annonce des résultats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mai 2026</w:t>
            </w:r>
          </w:p>
        </w:tc>
      </w:tr>
    </w:tbl>
    <w:p>
      <w:pPr>
        <w:spacing w:after="200" w:before="0"/>
      </w:pPr>
    </w:p>
    <w:p>
      <w:pPr>
        <w:pBdr>
          <w:bottom w:val="single" w:color="4A3AB7" w:sz="8" w:space="1"/>
        </w:pBdr>
        <w:spacing w:after="200" w:before="0"/>
      </w:pPr>
    </w:p>
    <w:p>
      <w:pPr>
        <w:spacing w:after="40" w:before="80"/>
        <w:jc w:val="center"/>
      </w:pPr>
      <w:r>
        <w:rPr>
          <w:rFonts w:ascii="Arial" w:cs="Arial" w:eastAsia="Arial" w:hAnsi="Arial"/>
          <w:b/>
          <w:bCs/>
          <w:color w:val="4A3AB7"/>
          <w:sz w:val="18"/>
          <w:szCs w:val="18"/>
        </w:rPr>
        <w:t xml:space="preserve">Kilti Konet — Association loi 1901</w:t>
      </w:r>
      <w:r>
        <w:rPr>
          <w:rFonts w:ascii="Arial" w:cs="Arial" w:eastAsia="Arial" w:hAnsi="Arial"/>
          <w:color w:val="5F5E5A"/>
          <w:sz w:val="18"/>
          <w:szCs w:val="18"/>
        </w:rPr>
        <w:t xml:space="preserve">   |   Cultural Impact Program · Culture Connect 2026</w:t>
      </w:r>
    </w:p>
    <w:p>
      <w:pPr>
        <w:spacing w:after="0" w:before="0"/>
        <w:jc w:val="center"/>
      </w:pPr>
      <w:r>
        <w:rPr>
          <w:rFonts w:ascii="Arial" w:cs="Arial" w:eastAsia="Arial" w:hAnsi="Arial"/>
          <w:color w:val="0F6E56"/>
          <w:sz w:val="18"/>
          <w:szCs w:val="18"/>
        </w:rPr>
        <w:t xml:space="preserve">kiltikonet.fr   ·   contact@kiltikonet.fr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1A1A1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2026-03-31T12:01:36.081Z</dcterms:created>
  <dcterms:modified xsi:type="dcterms:W3CDTF">2026-03-31T12:01:36.082Z</dcterms:modified>
</cp:coreProperties>
</file>

<file path=docProps/custom.xml><?xml version="1.0" encoding="utf-8"?>
<Properties xmlns="http://schemas.openxmlformats.org/officeDocument/2006/custom-properties" xmlns:vt="http://schemas.openxmlformats.org/officeDocument/2006/docPropsVTypes"/>
</file>