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Company"/>
      </w:pPr>
      <w:r>
        <w:t>R3 LIMITED</w:t>
      </w:r>
    </w:p>
    <w:p>
      <w:pPr>
        <w:pStyle w:val="Title"/>
        <w:spacing w:after="600"/>
      </w:pPr>
      <w:r>
        <w:t>ПОЛИТИКА ПРОТИВОДЕЙСТВИЯ ОТМЫВАНИЮ ДЕНЕГ ФИНАНСИРОВАНИЮ ТЕРРОРИЗМА И ФИНАНСИРОВАНИЮ РАСПРОСТРАНЕНИЯ ОРУЖИЯ МАССОВОГО УНИЧТОЖЕНИЯ И ПРОЦЕДУР ИДЕНТИФИКАЦИИ КЛИЕНТОВ KYC AML</w:t>
      </w:r>
    </w:p>
    <w:p>
      <w:pPr>
        <w:spacing w:after="80"/>
        <w:jc w:val="center"/>
      </w:pPr>
      <w:r>
        <w:t>Версия 1.1</w:t>
      </w:r>
    </w:p>
    <w:p>
      <w:pPr>
        <w:spacing w:after="80"/>
        <w:jc w:val="center"/>
      </w:pPr>
      <w:r>
        <w:t>Дата вступления в силу: 15 сентября 2026 г.</w:t>
      </w:r>
    </w:p>
    <w:p>
      <w:pPr>
        <w:spacing w:after="80"/>
        <w:jc w:val="center"/>
      </w:pPr>
      <w:r>
        <w:t>Unit 308, 3/F., Chevalier House, 45–51 Chatham Road South, Tsim Sha Tsui, Hong Kong</w:t>
      </w:r>
    </w:p>
    <w:p>
      <w:pPr>
        <w:spacing w:after="80"/>
        <w:jc w:val="center"/>
      </w:pPr>
      <w:r>
        <w:t>E-mail: work@r3limited.com | Сайт: https://r3limited.com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spacing w:after="20"/>
      </w:pPr>
      <w:r>
        <w:rPr>
          <w:sz w:val="19"/>
        </w:rPr>
        <w:t>1. Общие положения</w:t>
      </w:r>
    </w:p>
    <w:p>
      <w:pPr>
        <w:spacing w:after="20"/>
      </w:pPr>
      <w:r>
        <w:rPr>
          <w:sz w:val="19"/>
        </w:rPr>
        <w:t>2. Нормативно-правовая основа и международные стандарты</w:t>
      </w:r>
    </w:p>
    <w:p>
      <w:pPr>
        <w:spacing w:after="20"/>
      </w:pPr>
      <w:r>
        <w:rPr>
          <w:sz w:val="19"/>
        </w:rPr>
        <w:t>3. Термины и определения</w:t>
      </w:r>
    </w:p>
    <w:p>
      <w:pPr>
        <w:spacing w:after="20"/>
      </w:pPr>
      <w:r>
        <w:rPr>
          <w:sz w:val="19"/>
        </w:rPr>
        <w:t>4. Принципы и цели Политики</w:t>
      </w:r>
    </w:p>
    <w:p>
      <w:pPr>
        <w:spacing w:after="20"/>
      </w:pPr>
      <w:r>
        <w:rPr>
          <w:sz w:val="19"/>
        </w:rPr>
        <w:t>5. Риск-базированный подход</w:t>
      </w:r>
    </w:p>
    <w:p>
      <w:pPr>
        <w:spacing w:after="20"/>
      </w:pPr>
      <w:r>
        <w:rPr>
          <w:sz w:val="19"/>
        </w:rPr>
        <w:t>6. Ответственные лица и их функции</w:t>
      </w:r>
    </w:p>
    <w:p>
      <w:pPr>
        <w:spacing w:after="20"/>
      </w:pPr>
      <w:r>
        <w:rPr>
          <w:sz w:val="19"/>
        </w:rPr>
        <w:t>7. Идентификация и верификация клиентов (KYC/CDD)</w:t>
      </w:r>
    </w:p>
    <w:p>
      <w:pPr>
        <w:spacing w:after="20"/>
      </w:pPr>
      <w:r>
        <w:rPr>
          <w:sz w:val="19"/>
        </w:rPr>
        <w:t>8. Бенефициарные владельцы и лица, действующие от имени клиента</w:t>
      </w:r>
    </w:p>
    <w:p>
      <w:pPr>
        <w:spacing w:after="20"/>
      </w:pPr>
      <w:r>
        <w:rPr>
          <w:sz w:val="19"/>
        </w:rPr>
        <w:t>9. Санкционный комплаенс и проверка публичных должностных лиц (PEP)</w:t>
      </w:r>
    </w:p>
    <w:p>
      <w:pPr>
        <w:spacing w:after="20"/>
      </w:pPr>
      <w:r>
        <w:rPr>
          <w:sz w:val="19"/>
        </w:rPr>
        <w:t>10. Категоризация клиентов по уровню риска</w:t>
      </w:r>
    </w:p>
    <w:p>
      <w:pPr>
        <w:spacing w:after="20"/>
      </w:pPr>
      <w:r>
        <w:rPr>
          <w:sz w:val="19"/>
        </w:rPr>
        <w:t>11. Мониторинг операций</w:t>
      </w:r>
    </w:p>
    <w:p>
      <w:pPr>
        <w:spacing w:after="20"/>
      </w:pPr>
      <w:r>
        <w:rPr>
          <w:sz w:val="19"/>
        </w:rPr>
        <w:t>12. Выявление и эскалация подозрительных операций</w:t>
      </w:r>
    </w:p>
    <w:p>
      <w:pPr>
        <w:spacing w:after="20"/>
      </w:pPr>
      <w:r>
        <w:rPr>
          <w:sz w:val="19"/>
        </w:rPr>
        <w:t>13. Запрет на предупреждение клиента (Tipping Off)</w:t>
      </w:r>
    </w:p>
    <w:p>
      <w:pPr>
        <w:spacing w:after="20"/>
      </w:pPr>
      <w:r>
        <w:rPr>
          <w:sz w:val="19"/>
        </w:rPr>
        <w:t>14. Ведение и хранение документации</w:t>
      </w:r>
    </w:p>
    <w:p>
      <w:pPr>
        <w:spacing w:after="20"/>
      </w:pPr>
      <w:r>
        <w:rPr>
          <w:sz w:val="19"/>
        </w:rPr>
        <w:t>15. Обучение персонала</w:t>
      </w:r>
    </w:p>
    <w:p>
      <w:pPr>
        <w:spacing w:after="20"/>
      </w:pPr>
      <w:r>
        <w:rPr>
          <w:sz w:val="19"/>
        </w:rPr>
        <w:t>16. Отказ от исполнения поручений и расторжение отношений</w:t>
      </w:r>
    </w:p>
    <w:p>
      <w:pPr>
        <w:spacing w:after="20"/>
      </w:pPr>
      <w:r>
        <w:rPr>
          <w:sz w:val="19"/>
        </w:rPr>
        <w:t>17. Взаимодействие с банками и компетентными органами</w:t>
      </w:r>
    </w:p>
    <w:p>
      <w:pPr>
        <w:spacing w:after="20"/>
      </w:pPr>
      <w:r>
        <w:rPr>
          <w:sz w:val="19"/>
        </w:rPr>
        <w:t>18. Пересмотр Политики</w:t>
      </w:r>
    </w:p>
    <w:p>
      <w:pPr>
        <w:spacing w:after="20"/>
      </w:pPr>
      <w:r>
        <w:rPr>
          <w:sz w:val="19"/>
        </w:rPr>
        <w:t>19. Контактная информация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keepLines w:val="0"/>
        <w:ind w:firstLine="0"/>
      </w:pPr>
      <w:r>
        <w:t>1.1. Настоящая Политика противодействия отмыванию денег, финансированию терроризма и финансированию распространения оружия массового уничтожения, а также процедур идентификации клиентов (далее — «Политика KYC/AML» или «Политика») разработана и принята R3 Limited (далее — «Компания», «R3 Limited», «мы»), компанией, зарегистрированной в Специальном административном районе Гонконг Китайской Народной Республики под регистрационным номером 79832785, юридический адрес: Unit 308, 3/F., Chevalier House, 45–51 Chatham Road South, Tsim Sha Tsui, Hong Kong.</w:t>
      </w:r>
    </w:p>
    <w:p>
      <w:pPr>
        <w:keepLines w:val="0"/>
        <w:ind w:firstLine="0"/>
      </w:pPr>
      <w:r>
        <w:t>1.2. Политика устанавливает публичные принципы и общие требования, которым Компания следует при установлении деловых отношений, идентификации и верификации клиентов, приеме и исполнении агентских поручений, связанных с организацией расчетов по внешнеторговым контрактам, а также при мониторинге операций в целях предотвращения использования услуг Компании для отмывания денег, финансирования терроризма, финансирования распространения оружия массового уничтожения (совместно — «ПОД/ФТ»), обхода применимых ограничений и иных противоправных целей. Детальные внутренние процедуры и параметры контроля устанавливаются отдельными внутренними документами Компании и не раскрываются в настоящей публичной Политике.</w:t>
      </w:r>
    </w:p>
    <w:p>
      <w:pPr>
        <w:keepLines w:val="0"/>
        <w:ind w:firstLine="0"/>
      </w:pPr>
      <w:r>
        <w:t>1.3. Политика обязательна для исполнения директорами, сотрудниками, агентами, представителями и субагентами Компании. Привлечение субагентов не освобождает Компанию от ответственности за соблюдение требований настоящей Политики.</w:t>
      </w:r>
    </w:p>
    <w:p>
      <w:pPr>
        <w:keepLines w:val="0"/>
        <w:ind w:firstLine="0"/>
      </w:pPr>
      <w:r>
        <w:t>1.4. Требования настоящей Политики применяются независимо от суммы, валюты, страны регистрации или места нахождения клиента, страны банка-получателя и иных обстоятельств конкретной операции.</w:t>
      </w:r>
    </w:p>
    <w:p>
      <w:pPr>
        <w:pStyle w:val="Heading1"/>
      </w:pPr>
      <w:r>
        <w:t>2. Нормативно-правовая основа и международные стандарты</w:t>
      </w:r>
    </w:p>
    <w:p>
      <w:pPr>
        <w:keepLines w:val="0"/>
        <w:ind w:firstLine="0"/>
      </w:pPr>
      <w:r>
        <w:t>2.1. Политика разработана с учетом:</w:t>
      </w:r>
    </w:p>
    <w:p>
      <w:pPr>
        <w:ind w:left="340" w:hanging="227"/>
      </w:pPr>
      <w:r>
        <w:t>– применимого законодательства Гонконга, включая Закон о противодействии отмыванию денег и финансированию терроризма (Anti-Money Laundering and Counter-Terrorist Financing Ordinance, Cap. 615), Закон о контроле над наркотическими средствами, позволяющий конфискацию доходов (Drug Trafficking (Recovery of Proceeds) Ordinance, Cap. 405), Закон об организованной и тяжкой преступности (Organized and Serious Crimes Ordinance, Cap. 455), а также резолюций Совета Безопасности Организации Объединенных Наций, имеющих силу в Гонконге;</w:t>
      </w:r>
    </w:p>
    <w:p>
      <w:pPr>
        <w:ind w:left="340" w:hanging="227"/>
      </w:pPr>
      <w:r>
        <w:t>– Рекомендаций Группы разработки финансовых мер борьбы с отмыванием денег (FATF), включая Рекомендацию 1 о риск-базированном подходе, Рекомендации 10 и 11 (надлежащая проверка клиента и хранение записей), Рекомендации 12 (публичные должностные лица), Рекомендации 13 и 16 (мониторинг и отчетность о</w:t>
      </w:r>
    </w:p>
    <w:p>
      <w:r>
        <w:t>подозрительных операциях), Рекомендации 6 и 7 (меры против террористического финансирования и финансирования распространения оружия массового уничтожения);</w:t>
      </w:r>
    </w:p>
    <w:p>
      <w:pPr>
        <w:ind w:left="340" w:hanging="227"/>
      </w:pPr>
      <w:r>
        <w:t>– законодательства юрисдикций регистрации и присутствия клиентов и контрагентов, включая применимые положения законодательства Российской Федерации, в том числе Федерального закона от 07.08.2001 № 115-ФЗ «О противодействии легализации (отмыванию) доходов, полученных преступным путем, и финансированию терроризма», — исключительно в той мере, в какой соответствующие требования применимы к Компании и (или) конкретному клиенту, контрагенту либо операции;</w:t>
      </w:r>
    </w:p>
    <w:p>
      <w:pPr>
        <w:ind w:left="340" w:hanging="227"/>
      </w:pPr>
      <w:r>
        <w:t>– санкционных и ограничительных режимов, применимых к Компании, конкретной операции, банковской инфраструктуре и участникам расчетной цепочки, включая, где применимо, режимы Совета Безопасности ООН и иных соответствующих юрисдикций.</w:t>
      </w:r>
    </w:p>
    <w:p>
      <w:pPr>
        <w:keepLines w:val="0"/>
        <w:ind w:firstLine="0"/>
      </w:pPr>
      <w:r>
        <w:t>2.2. В части, не урегулированной настоящей Политикой, применяется законодательство Гонконга. Требования иных юрисдикций учитываются только в той мере, в какой они юридически применимы к Компании, соответствующему клиенту, контрагенту или операции; наличие в Политике ссылки на нормативный акт само по себе не означает признания Компании субъектом всех обязанностей по такому акту.</w:t>
      </w:r>
    </w:p>
    <w:p>
      <w:pPr>
        <w:pStyle w:val="Heading1"/>
      </w:pPr>
      <w:r>
        <w:t>3. Термины и определения</w:t>
      </w:r>
    </w:p>
    <w:p>
      <w:pPr>
        <w:keepLines w:val="0"/>
        <w:ind w:firstLine="0"/>
      </w:pPr>
      <w:r>
        <w:t>3.1. В настоящей Политике используются следующие термины:</w:t>
      </w:r>
    </w:p>
    <w:p>
      <w:pPr>
        <w:ind w:left="340" w:hanging="227"/>
      </w:pPr>
      <w:r>
        <w:t>– «отмывание денег (легализация доходов)» — приведение в законный вид денежных средств или иного имущества, полученных в результате преступной деятельности, сокрытие или смена их источника, вида, места нахождения, движения либо подлинных прав на них;</w:t>
      </w:r>
    </w:p>
    <w:p>
      <w:pPr>
        <w:ind w:left="340" w:hanging="227"/>
      </w:pPr>
      <w:r>
        <w:t>– «финансирование терроризма» — предоставление, сбор, хранение или передача средств или иного имущества в целях финансирования террористической деятельности, террористов либо террористических организаций, а равно с учетом знания о такой цели;</w:t>
      </w:r>
    </w:p>
    <w:p>
      <w:pPr>
        <w:ind w:left="340" w:hanging="227"/>
      </w:pPr>
      <w:r>
        <w:t>– «клиент» — юридическое лицо (Принципал), с которым Компания заключила агентский договор либо которое намеревается заключить такой договор, а также иное лицо, с которым Компания устанавливает деловые отношения;</w:t>
      </w:r>
    </w:p>
    <w:p>
      <w:pPr>
        <w:ind w:left="340" w:hanging="227"/>
      </w:pPr>
      <w:r>
        <w:t>– «бенефициарный владелец» — физическое лицо, которое в конечном счете владеет или контролирует клиента либо от имени которого осуществляется сделка, включая физическое лицо, владеющее (контролирующее) прямо или косвенно долей участия (голосующих прав) в размере более 25 процентов, а при невозможности выявления такого лица — физическое лицо, осуществляющее фактическое руководство клиентом;</w:t>
      </w:r>
    </w:p>
    <w:p>
      <w:pPr>
        <w:ind w:left="340" w:hanging="227"/>
      </w:pPr>
      <w:r>
        <w:t>– «публичное должностное лицо (PEP)» — физическое лицо, которое занимает или занимало важную государственную должность, члены его семьи и близкие ассоциированные лица;</w:t>
      </w:r>
    </w:p>
    <w:p>
      <w:pPr>
        <w:ind w:left="340" w:hanging="227"/>
      </w:pPr>
      <w:r>
        <w:t>– «KYC» (Know Your Customer) — процедуры идентификации и верификации клиента и выявления его бенефициарных владельцев; «CDD» — надлежащая проверка клиента (Customer Due Diligence); «EDD» — усиленная проверка клиента (Enhanced Due Diligence);</w:t>
      </w:r>
    </w:p>
    <w:p>
      <w:pPr>
        <w:ind w:left="340" w:hanging="227"/>
      </w:pPr>
      <w:r>
        <w:t>– «подозрительная операция» — операция (попытка совершения операции, отсутствие операции при наличии обстоятельств), которая вызывает подозрение в том, что она связана с отмыванием денег, финансированием терроризма, нарушением применимых санкций или иной противоправной деятельностью;</w:t>
      </w:r>
    </w:p>
    <w:p>
      <w:pPr>
        <w:ind w:left="340" w:hanging="227"/>
      </w:pPr>
      <w:r>
        <w:t>– «комплаенс-офицер» (MLRO) — лицо, ответственное за реализацию настоящей Политики и рассмотрение внутренних докладов о подозрительных операциях.</w:t>
      </w:r>
    </w:p>
    <w:p>
      <w:pPr>
        <w:pStyle w:val="Heading1"/>
      </w:pPr>
      <w:r>
        <w:t>4. Принципы и цели Политики</w:t>
      </w:r>
    </w:p>
    <w:p>
      <w:pPr>
        <w:keepLines w:val="0"/>
        <w:ind w:firstLine="0"/>
      </w:pPr>
      <w:r>
        <w:t>4.1. Компания придерживается следующих принципов:</w:t>
      </w:r>
    </w:p>
    <w:p>
      <w:pPr>
        <w:ind w:left="340" w:hanging="227"/>
      </w:pPr>
      <w:r>
        <w:t>– риск-базированный подход: меры контроля пропорциональны выявленным рискам ПОД/ФТ;</w:t>
      </w:r>
    </w:p>
    <w:p>
      <w:pPr>
        <w:ind w:left="340" w:hanging="227"/>
      </w:pPr>
      <w:r>
        <w:t>– «знай своего клиента»: отношения не устанавливаются и поручения не принимаются до завершения процедур идентификации и верификации;</w:t>
      </w:r>
    </w:p>
    <w:p>
      <w:pPr>
        <w:ind w:left="340" w:hanging="227"/>
      </w:pPr>
      <w:r>
        <w:t>– недопущение анонимных и псевдонимных отношений;</w:t>
      </w:r>
    </w:p>
    <w:p>
      <w:pPr>
        <w:ind w:left="340" w:hanging="227"/>
      </w:pPr>
      <w:r>
        <w:t>– приоритет требований законодательства: при конфликте деловых интересов и требований закона приоритет отдается закону;</w:t>
      </w:r>
    </w:p>
    <w:p>
      <w:pPr>
        <w:ind w:left="340" w:hanging="227"/>
      </w:pPr>
      <w:r>
        <w:t>– конфиденциальность внутреннего докладооборота о подозрительных операциях;</w:t>
      </w:r>
    </w:p>
    <w:p>
      <w:pPr>
        <w:ind w:left="340" w:hanging="227"/>
      </w:pPr>
      <w:r>
        <w:t>– сотрудничество   с    банками-партнерами,    компетентными    органами   и правоохранительными органами в пределах, допускаемых законом.</w:t>
      </w:r>
    </w:p>
    <w:p>
      <w:pPr>
        <w:keepLines w:val="0"/>
        <w:ind w:firstLine="0"/>
      </w:pPr>
      <w:r>
        <w:t>4.2. Целями настоящей Политики являются: не допустить использования услуг Компании для ПОД/ФТ и нарушения санкций; содействовать выявлению, предотвращению и пресечению противоправной деятельности; обеспечить соответствие деятельности Компании применимым правовым и регуляторным требованиям; минимизировать правовые, репутационные и операционные риски Компании и ее клиентов.</w:t>
      </w:r>
    </w:p>
    <w:p>
      <w:pPr>
        <w:pStyle w:val="Heading1"/>
      </w:pPr>
      <w:r>
        <w:t>5. Риск-базированный подход</w:t>
      </w:r>
    </w:p>
    <w:p>
      <w:pPr>
        <w:keepLines w:val="0"/>
        <w:ind w:firstLine="0"/>
      </w:pPr>
      <w:r>
        <w:t>5.1. Компания применяет риск-базированный подход: объем и интенсивность мер контроля определяются уровнем риска ПОД/ФТ, связанным с конкретным клиентом, страной, продуктом, каналом взаимодействия и характером операций.</w:t>
      </w:r>
    </w:p>
    <w:p>
      <w:pPr>
        <w:keepLines w:val="0"/>
        <w:ind w:firstLine="0"/>
      </w:pPr>
      <w:r>
        <w:t>5.2. При оценке риска учитываются страна регистрации и фактической деятельности клиента и его контрагентов, виды деятельности, структура владения, характер и экономическая логика предполагаемых операций, наличие PEP-факторов, применимые ограничения, сведения из надежных источников и иные обстоятельства, значимые для оценки риска.</w:t>
      </w:r>
    </w:p>
    <w:p>
      <w:pPr>
        <w:keepLines w:val="0"/>
        <w:ind w:firstLine="0"/>
      </w:pPr>
      <w:r>
        <w:t>5.3. По результатам оценки клиент относится к категории низкого, среднего или высокого риска. Клиентам с высоким уровнем риска применяются усиленные меры проверки (EDD), повышенный мониторинг и согласование операций комплаенс-офицером.</w:t>
      </w:r>
    </w:p>
    <w:p>
      <w:pPr>
        <w:pStyle w:val="Heading1"/>
      </w:pPr>
      <w:r>
        <w:t>6. Ответственные лица и их функции</w:t>
      </w:r>
    </w:p>
    <w:p>
      <w:pPr>
        <w:keepLines w:val="0"/>
        <w:ind w:firstLine="0"/>
      </w:pPr>
      <w:r>
        <w:t>6.1. Общую ответственность за реализацию настоящей Политики, соответствие деятельности Компании применимым требованиям в сфере ПОД/ФТ и санкционного комплаенса несет директор Компании. Директор (лицо, им уполномоченное) выполняет функции комплаенс-офицера (MLRO).</w:t>
      </w:r>
    </w:p>
    <w:p>
      <w:pPr>
        <w:keepLines w:val="0"/>
        <w:ind w:firstLine="0"/>
      </w:pPr>
      <w:r>
        <w:t>6.2. Комплаенс-офицер: контролирует исполнение Политики; рассматривает внутренние доклады о подозрительных операциях и принимает решения о дальнейших действиях; принимает решения об отказе от исполнения поручений, приостановлении и расторжении отношений; определяет потребность в дополнительной информации и документах; взаимодействует с банками-партнерами, субагентами и компетентными органами в пределах, допускаемых законом; организует обучение персонала; инициирует пересмотр Политики.</w:t>
      </w:r>
    </w:p>
    <w:p>
      <w:pPr>
        <w:pStyle w:val="Heading1"/>
      </w:pPr>
      <w:r>
        <w:t>7. Идентификация и верификация клиентов (KYC/CDD)</w:t>
      </w:r>
    </w:p>
    <w:p>
      <w:pPr>
        <w:keepLines w:val="0"/>
        <w:ind w:firstLine="0"/>
      </w:pPr>
      <w:r>
        <w:t>7.1. До установления деловых отношений и до принятия первого поручения Компания проводит идентификацию клиента и верификацию представленных сведений. До завершения процедур идентификации отношения не устанавливаются, а поручения не принимаются.</w:t>
      </w:r>
    </w:p>
    <w:p>
      <w:pPr>
        <w:keepLines w:val="0"/>
        <w:ind w:firstLine="0"/>
      </w:pPr>
      <w:r>
        <w:t>7.2. От юридического лица — клиента запрашиваются следующие документы и сведения:</w:t>
      </w:r>
    </w:p>
    <w:p>
      <w:pPr>
        <w:ind w:left="340" w:hanging="227"/>
      </w:pPr>
      <w:r>
        <w:t>– учредительные документы: сертификат регистрации, устав (статут), документы о регистрации в налоговых и иных государственных органах;</w:t>
      </w:r>
    </w:p>
    <w:p>
      <w:pPr>
        <w:ind w:left="340" w:hanging="227"/>
      </w:pPr>
      <w:r>
        <w:t>– выписка из государственного реестра юридических лиц, выданная не ранее чем за три (3) месяца до предоставления;</w:t>
      </w:r>
    </w:p>
    <w:p>
      <w:pPr>
        <w:ind w:left="340" w:hanging="227"/>
      </w:pPr>
      <w:r>
        <w:t>– документы, подтверждающие полномочия лица, действующего от имени клиента (решение о назначении, доверенность, приказ);</w:t>
      </w:r>
    </w:p>
    <w:p>
      <w:pPr>
        <w:ind w:left="340" w:hanging="227"/>
      </w:pPr>
      <w:r>
        <w:t>– сведения о юридическом адресе, фактическом месте ведения деятельности и видах экономической деятельности;</w:t>
      </w:r>
    </w:p>
    <w:p>
      <w:pPr>
        <w:ind w:left="340" w:hanging="227"/>
      </w:pPr>
      <w:r>
        <w:t>– по запросу Компании — финансовая (бухгалтерская) отчетность;</w:t>
      </w:r>
    </w:p>
    <w:p>
      <w:pPr>
        <w:ind w:left="340" w:hanging="227"/>
      </w:pPr>
      <w:r>
        <w:t>– сведения о характере предполагаемых операций и их экономическом обосновании, включая копии внешнеторговых контрактов и инвойсов, в связи с исполнением которых осуществляются расчеты.</w:t>
      </w:r>
    </w:p>
    <w:p>
      <w:pPr>
        <w:keepLines w:val="0"/>
        <w:ind w:firstLine="0"/>
      </w:pPr>
      <w:r>
        <w:t>7.3. Компания вправе запросить нотариально заверенные копии документов, апостилированные документы, а также переводы документов на английский язык, выполненные присяжным переводчиком.</w:t>
      </w:r>
    </w:p>
    <w:p>
      <w:pPr>
        <w:keepLines w:val="0"/>
        <w:ind w:firstLine="0"/>
      </w:pPr>
      <w:r>
        <w:t>7.4. Клиент обязан незамедлительно уведомлять Компанию об изменении представленных документов и сведений. Периодическая актуализация и повторная проверка проводятся с частотой, определяемой уровнем риска клиента, существенными изменениями и требованиями применимого законодательства.</w:t>
      </w:r>
    </w:p>
    <w:p>
      <w:pPr>
        <w:keepLines w:val="0"/>
        <w:ind w:firstLine="0"/>
      </w:pPr>
      <w:r>
        <w:t>7.5. Верификация осуществляется на основе независимых и надежных источников, включая официальные государственные реестры юрисдикции регистрации клиента, открытые реестры бенефициарных владельцев и иные достоверные источники.</w:t>
      </w:r>
    </w:p>
    <w:p>
      <w:pPr>
        <w:pStyle w:val="Heading1"/>
      </w:pPr>
      <w:r>
        <w:t>8. Бенефициарные владельцы и лица, действующие от имени клиента</w:t>
      </w:r>
    </w:p>
    <w:p>
      <w:pPr>
        <w:keepLines w:val="0"/>
        <w:ind w:firstLine="0"/>
      </w:pPr>
      <w:r>
        <w:t>8.1. Компания выявляет бенефициарных владельцев каждого клиента до порога прямого или косвенного владения (контроля) в размере более 25 процентов доли участия (голосующих прав). При невозможности выявления бенефициарного владельца (в том числе из-за многоуровневой или непрозрачной структуры владения) бенефициарным владельцем считается физическое лицо, осуществляющее фактическое руководство клиентом (руководитель, директор).</w:t>
      </w:r>
    </w:p>
    <w:p>
      <w:pPr>
        <w:keepLines w:val="0"/>
        <w:ind w:firstLine="0"/>
      </w:pPr>
      <w:r>
        <w:t>8.2. В отношении каждого бенефициарного владельца осуществляются: идентификация (фамилия, имя, отчество (при наличии), гражданство, дата и место рождения, данные документа, удостоверяющего личность, адрес места жительства); проверка по санкционным спискам и спискам, связанным с терроризмом; проверка на предмет отнесения к публичным должностным лицам (PEP).</w:t>
      </w:r>
    </w:p>
    <w:p>
      <w:pPr>
        <w:keepLines w:val="0"/>
        <w:ind w:firstLine="0"/>
      </w:pPr>
      <w:r>
        <w:t>8.3. В отношении лиц, действующих от имени клиента (представителей, подписантов), помимо подтверждения полномочий проводится идентификация самого лица на основании документа, удостоверяющего личность.</w:t>
      </w:r>
    </w:p>
    <w:p>
      <w:pPr>
        <w:pStyle w:val="Heading1"/>
      </w:pPr>
      <w:r>
        <w:t>9. Санкционный комплаенс и проверка публичных должностных лиц (PEP)</w:t>
      </w:r>
    </w:p>
    <w:p>
      <w:pPr>
        <w:keepLines w:val="0"/>
        <w:ind w:firstLine="0"/>
      </w:pPr>
      <w:r>
        <w:t>9.1. Компания осуществляет санкционный и ограничительный скрининг клиентов, бенефициарных владельцев, представителей, контрагентов по внешнеторговым контрактам, банков-посредников и иных участников расчетов с учетом режимов, применимых к Компании, соответствующей операции, банковской инфраструктуре и расчетной цепочке, включая, где применимо, режимы Совета Безопасности ООН и иных соответствующих юрисдикций, а также списки лиц, связанных с терроризмом.</w:t>
      </w:r>
    </w:p>
    <w:p>
      <w:pPr>
        <w:keepLines w:val="0"/>
        <w:ind w:firstLine="0"/>
      </w:pPr>
      <w:r>
        <w:t>9.2. Компания не устанавливает отношения и не проводит операции, если это приведет или с высокой вероятностью может привести к нарушению применимого законодательства либо обязательных для соответствующей расчетной цепочки ограничений. Компания вправе отказать в принятии поручения, приостановить его исполнение или возвратить средства в порядке, предусмотренном договором и применимым законодательством.</w:t>
      </w:r>
    </w:p>
    <w:p>
      <w:pPr>
        <w:keepLines w:val="0"/>
        <w:ind w:firstLine="0"/>
      </w:pPr>
      <w:r>
        <w:t>9.3. В отношении клиентов, связанных с публичными должностными лицами (PEP), применяются соразмерные риску усиленные меры проверки (EDD), включая согласование установления отношений уполномоченным лицом, установление источника происхождения средств и (или) благосостояния в применимом объеме, усиленный мониторинг и более частую актуализацию сведений.</w:t>
      </w:r>
    </w:p>
    <w:p>
      <w:pPr>
        <w:pStyle w:val="Heading1"/>
      </w:pPr>
      <w:r>
        <w:t>10. Категоризация клиентов по уровню риска</w:t>
      </w:r>
    </w:p>
    <w:p>
      <w:pPr>
        <w:keepLines w:val="0"/>
        <w:ind w:firstLine="0"/>
      </w:pPr>
      <w:r>
        <w:t>10.1. По результатам проверки клиент относится к одной из категорий риска, определяемых внутренней методологией Компании с учетом прозрачности структуры владения, юрисдикций, характера деятельности и операций, PEP-факторов, применимых ограничений, качества представленных документов и иных значимых обстоятельств.</w:t>
      </w:r>
    </w:p>
    <w:p>
      <w:pPr>
        <w:keepLines w:val="0"/>
        <w:ind w:firstLine="0"/>
      </w:pPr>
      <w:r>
        <w:t>10.2. К клиентам категории высокого риска применяются усиленные меры проверки (EDD): расширенный состав документов, дополнительное обоснование экономической цели операций, согласование операций комплаенс-офицером, усиленный мониторинг и сокращенные сроки переидентификации.</w:t>
      </w:r>
    </w:p>
    <w:p>
      <w:pPr>
        <w:pStyle w:val="Heading1"/>
      </w:pPr>
      <w:r>
        <w:t>11. Мониторинг операций</w:t>
      </w:r>
    </w:p>
    <w:p>
      <w:pPr>
        <w:keepLines w:val="0"/>
        <w:ind w:firstLine="0"/>
      </w:pPr>
      <w:r>
        <w:t>11.1. Компания осуществляет постоянный мониторинг исполняемых поручений с целью установления их соответствия профилю деятельности клиента, условиям внешнеторгового контракта и инвойса, а также заявленной экономической цели расчетов.</w:t>
      </w:r>
    </w:p>
    <w:p>
      <w:pPr>
        <w:keepLines w:val="0"/>
        <w:ind w:firstLine="0"/>
      </w:pPr>
      <w:r>
        <w:t>11.2. Операции, отклоняющиеся от профиля клиента, условий представленных документов или обычной экономической логики, подлежат дополнительной проверке в соответствии с внутренними процедурами Компании. Конкретные индикаторы, параметры и алгоритмы мониторинга являются частью внутренних контрольных процедур и публично не раскрываются.</w:t>
      </w:r>
    </w:p>
    <w:p>
      <w:pPr>
        <w:keepLines w:val="0"/>
        <w:ind w:firstLine="0"/>
      </w:pPr>
      <w:r>
        <w:t>11.3. По результатам мониторинга операция может быть согласована, исполнена с дополнительной проверкой либо отклонена в соответствии с разделом 12 настоящей Политики.</w:t>
      </w:r>
    </w:p>
    <w:p>
      <w:pPr>
        <w:pStyle w:val="Heading1"/>
      </w:pPr>
      <w:r>
        <w:t>12. Выявление и эскалация подозрительных операций</w:t>
      </w:r>
    </w:p>
    <w:p>
      <w:pPr>
        <w:keepLines w:val="0"/>
        <w:ind w:firstLine="0"/>
      </w:pPr>
      <w:r>
        <w:t>12.1. Обстоятельства, которые могут свидетельствовать о подозрительном характере операции, подлежат незамедлительной внутренней эскалации комплаенс-офицеру в порядке, установленном внутренними документами Компании.</w:t>
      </w:r>
    </w:p>
    <w:p>
      <w:pPr>
        <w:keepLines w:val="0"/>
        <w:ind w:firstLine="0"/>
      </w:pPr>
      <w:r>
        <w:t>12.2. Комплаенс-офицер проводит оценку, при необходимости запрашивает дополнительную информацию и принимает меры, предусмотренные внутренними процедурами, договором и применимым законодательством, включая отказ, приостановление, прекращение отношений или направление информации компетентному органу, когда это обязательно или допускается законом.</w:t>
      </w:r>
    </w:p>
    <w:p>
      <w:pPr>
        <w:keepLines w:val="0"/>
        <w:ind w:firstLine="0"/>
      </w:pPr>
      <w:r>
        <w:t>12.3. Рассмотрение проводится без неоправданной задержки с учетом характера риска, требований применимого законодательства и необходимости не препятствовать проверке. Решения и основания их принятия документируются.</w:t>
      </w:r>
    </w:p>
    <w:p>
      <w:pPr>
        <w:keepLines w:val="0"/>
        <w:ind w:firstLine="0"/>
      </w:pPr>
      <w:r>
        <w:t>12.4. Компания вправе не принимать или не исполнять поручение и действовать в соответствии с договором и применимым законодательством, если клиент не представил запрошенные сведения, выявлено применимое ограничение, исполнение может быть противоправным либо имеются иные обоснованные сомнения в законности происхождения средств или цели операции.</w:t>
      </w:r>
    </w:p>
    <w:p>
      <w:pPr>
        <w:pStyle w:val="Heading1"/>
      </w:pPr>
      <w:r>
        <w:t>13. Запрет на предупреждение клиента (Tipping Off)</w:t>
      </w:r>
    </w:p>
    <w:p>
      <w:pPr>
        <w:keepLines w:val="0"/>
        <w:ind w:firstLine="0"/>
      </w:pPr>
      <w:r>
        <w:t>13.1. Запрещается информировать клиента, контрагентов или третьих лиц о том, что в отношении них подготовлен, направлен или рассматривается внутренний доклад о подозрительной операции, проводится внутреннее расследование либо готовится сообщение в компетентный орган, если иное прямо не предусмотрено применимым законодательством.</w:t>
      </w:r>
    </w:p>
    <w:p>
      <w:pPr>
        <w:keepLines w:val="0"/>
        <w:ind w:firstLine="0"/>
      </w:pPr>
      <w:r>
        <w:t>13.2. Запрет действует также в отношении факта проведения скрининга по санкционным спискам и результатов такого скрининга, если раскрытие может помешать расследованию или привести к нарушению применимого законодательства.</w:t>
      </w:r>
    </w:p>
    <w:p>
      <w:pPr>
        <w:pStyle w:val="Heading1"/>
      </w:pPr>
      <w:r>
        <w:t>14. Ведение и хранение документации</w:t>
      </w:r>
    </w:p>
    <w:p>
      <w:pPr>
        <w:keepLines w:val="0"/>
        <w:ind w:firstLine="0"/>
      </w:pPr>
      <w:r>
        <w:t>14.1. Компания хранит документы и записи, относящиеся к идентификации клиентов, бенефициарных владельцев и представителей, деловым отношениям и операциям, включая копии документов, переписку, результаты проверок, оценки риска и внутренние решения, в течение срока, установленного применимым законодательством; как правило, не менее пяти (5) лет с момента завершения деловых отношений либо совершения операции. Более длительный срок применяется только при наличии соответствующего правового основания.</w:t>
      </w:r>
    </w:p>
    <w:p>
      <w:pPr>
        <w:keepLines w:val="0"/>
        <w:ind w:firstLine="0"/>
      </w:pPr>
      <w:r>
        <w:t>14.2. Записи хранятся в электронном и (или) бумажном виде с обеспечением их целостности и защиты от несанкционированного доступа. Доступ к записям предоставляется ограниченному кругу уполномоченных лиц.</w:t>
      </w:r>
    </w:p>
    <w:p>
      <w:pPr>
        <w:keepLines w:val="0"/>
        <w:ind w:firstLine="0"/>
      </w:pPr>
      <w:r>
        <w:t>14.3. Документы и сведения, составляющие банковскую, налоговую, коммерческую тайну и персональные данные, раскрываются третьим лицам только в случаях, предусмотренных законодательством либо соглашением сторон.</w:t>
      </w:r>
    </w:p>
    <w:p>
      <w:pPr>
        <w:pStyle w:val="Heading1"/>
      </w:pPr>
      <w:r>
        <w:t>15. Обучение персонала</w:t>
      </w:r>
    </w:p>
    <w:p>
      <w:pPr>
        <w:keepLines w:val="0"/>
        <w:ind w:firstLine="0"/>
      </w:pPr>
      <w:r>
        <w:t>15.1. Сотрудники Компании проходят обучение по вопросам противодействия ПОД/ФТ и санкционного комплаенса при приеме на работу, а затем не реже одного раза в двенадцать (12) месяцев.</w:t>
      </w:r>
    </w:p>
    <w:p>
      <w:pPr>
        <w:keepLines w:val="0"/>
        <w:ind w:firstLine="0"/>
      </w:pPr>
      <w:r>
        <w:t>15.2. Обучение охватывает: признаки отмывания денег и финансирования терроризма; порядок идентификации и верификации клиентов; санкционные режимы и порядок скрининга; порядок направления внутренних докладов о подозрительных операциях; запрет на предупреждение клиента; требования к ведению и хранению записей.</w:t>
      </w:r>
    </w:p>
    <w:p>
      <w:pPr>
        <w:pStyle w:val="Heading1"/>
      </w:pPr>
      <w:r>
        <w:t>16. Отказ от исполнения поручений и расторжение отношений</w:t>
      </w:r>
    </w:p>
    <w:p>
      <w:pPr>
        <w:keepLines w:val="0"/>
        <w:ind w:firstLine="0"/>
      </w:pPr>
      <w:r>
        <w:t>16.1. Компания вправе отказать в принятии поручения до момента его принятия, а после принятия — приостановить исполнение и вернуть полученные от клиента денежные средства (за вычетом сумм, обусловленных договором), если исполнение невозможно на заявленных условиях вследствие рыночных условий, юридических ограничений и (или) санкций, если исполнение может повлечь нарушение настоящей Политики или применимого законодательства, а также в иных случаях, предусмотренных договором.</w:t>
      </w:r>
    </w:p>
    <w:p>
      <w:pPr>
        <w:keepLines w:val="0"/>
        <w:ind w:firstLine="0"/>
      </w:pPr>
      <w:r>
        <w:t>16.2. Если клиент не представляет запрошенные в рамках проверки документы и сведения в течение разумного срока либо представленные сведения вызывают обоснованные сомнения, Компания вправе отказаться от исполнения поручений, вернуть средства и (или) расторгнуть договор в одностороннем порядке в соответствии с его условиями.</w:t>
      </w:r>
    </w:p>
    <w:p>
      <w:pPr>
        <w:pStyle w:val="Heading1"/>
      </w:pPr>
      <w:r>
        <w:t>17. Взаимодействие с банками и компетентными органами</w:t>
      </w:r>
    </w:p>
    <w:p>
      <w:pPr>
        <w:keepLines w:val="0"/>
        <w:ind w:firstLine="0"/>
      </w:pPr>
      <w:r>
        <w:t>17.1. Компания предоставляет банкам-партнерам, субагентам и иным участникам расчетов документы и сведения, запрашиваемые ими в рамках их комплаенс-процедур, в объеме, необходимом для исполнения поручения и в соответствии с условиями договора.</w:t>
      </w:r>
    </w:p>
    <w:p>
      <w:pPr>
        <w:keepLines w:val="0"/>
        <w:ind w:firstLine="0"/>
      </w:pPr>
      <w:r>
        <w:t>17.2. Компания взаимодействует с компетентными органами (включая JFIU в Гонконге), регуляторами и правоохранительными органами в пределах, допускаемых применимым законодательством, и выполняет обязанности, предусмотренные законом, в том числе связанные с предоставлением информации о подозрительных операциях.</w:t>
      </w:r>
    </w:p>
    <w:p>
      <w:pPr>
        <w:pStyle w:val="Heading1"/>
      </w:pPr>
      <w:r>
        <w:t>18. Пересмотр Политики</w:t>
      </w:r>
    </w:p>
    <w:p>
      <w:pPr>
        <w:keepLines w:val="0"/>
        <w:ind w:firstLine="0"/>
      </w:pPr>
      <w:r>
        <w:t>18.1. Настоящая Политика пересматривается не реже одного раза в двенадцать (12) месяцев, а также при изменении применимого законодательства, санкционных режимов, требований банков-партнеров или риск-профиля деятельности Компании.</w:t>
      </w:r>
    </w:p>
    <w:p>
      <w:pPr>
        <w:keepLines w:val="0"/>
        <w:ind w:firstLine="0"/>
      </w:pPr>
      <w:r>
        <w:t>18.2. Актуальная версия Политики размещается на сайте Компании по адресу: https://r3limited.com. При расхождении версий приоритет имеет редакция, размещенная на сайте.</w:t>
      </w:r>
    </w:p>
    <w:p>
      <w:pPr>
        <w:pStyle w:val="Heading1"/>
      </w:pPr>
      <w:r>
        <w:t>19. Контактная информация</w:t>
      </w:r>
    </w:p>
    <w:p>
      <w:pPr>
        <w:keepLines w:val="0"/>
        <w:ind w:firstLine="0"/>
      </w:pPr>
      <w:r>
        <w:t>19.1. По вопросам, связанным с настоящей Политикой, идентификацией и проверкой клиентов, а также для направления запросов и документов обращайтесь:</w:t>
      </w:r>
    </w:p>
    <w:p>
      <w:pPr>
        <w:ind w:left="340" w:hanging="227"/>
      </w:pPr>
      <w:r>
        <w:t>– R3 Limited</w:t>
      </w:r>
    </w:p>
    <w:p>
      <w:pPr>
        <w:ind w:left="340" w:hanging="227"/>
      </w:pPr>
      <w:r>
        <w:t>– Регистрационный номер: 79832785 (Hong Kong)</w:t>
      </w:r>
    </w:p>
    <w:p>
      <w:pPr>
        <w:ind w:left="340" w:hanging="227"/>
      </w:pPr>
      <w:r>
        <w:t>– Адрес: Unit 308, 3/F., Chevalier House, 45–51 Chatham Road South, Tsim Sha Tsui, Hong Kong</w:t>
      </w:r>
    </w:p>
    <w:p>
      <w:pPr>
        <w:ind w:left="340" w:hanging="227"/>
      </w:pPr>
      <w:r>
        <w:t>– E-mail: work@r3limited.com</w:t>
      </w:r>
    </w:p>
    <w:p>
      <w:pPr>
        <w:ind w:left="340" w:hanging="227"/>
      </w:pPr>
      <w:r>
        <w:t>– Сайт: https://r3limited.com</w:t>
      </w:r>
    </w:p>
    <w:p>
      <w:pPr>
        <w:keepLines w:val="0"/>
        <w:ind w:firstLine="0"/>
      </w:pPr>
      <w:r>
        <w:t>19.2. Настоящая Политика вступает в силу с 15 сентября 2026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964" w:left="136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7"/>
      </w:rPr>
      <w:t xml:space="preserve">Страница </w:t>
    </w:r>
    <w:r>
      <w:rPr>
        <w:rFonts w:ascii="Arial" w:hAnsi="Arial"/>
        <w:color w:val="5A5A5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05050"/>
        <w:sz w:val="17"/>
      </w:rPr>
      <w:t>R3 Limited — Политика KYC/AML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Company">
    <w:name w:val="Cover Company"/>
    <w:pPr>
      <w:spacing w:after="480"/>
      <w:jc w:val="center"/>
    </w:pPr>
    <w:rPr>
      <w:rFonts w:ascii="Arial" w:hAnsi="Arial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