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824068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82406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72"/>
          <w:u w:val="none"/>
          <w:vertAlign w:val="baseline"/>
          <w:rtl w:val="0"/>
        </w:rPr>
        <w:t xml:space="preserve">James River Basin (Lower)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Monitoring Stations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 (278)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 (48)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Ambient/Fish Tissue (5)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#* Biological (253)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kj Citizen Monitoring (18)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 Other Non-Agency Monitoring (50)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XW Federal (1)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Fish Tissue (20)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^ Trend (62)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!A VDH-BEACH (5)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VPDES Dischargers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Industrial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Municipal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Interstate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Watersheds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Rivers and Streams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Reservoirs or Estuaries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30"/>
          <w:u w:val="none"/>
          <w:vertAlign w:val="baseline"/>
          <w:rtl w:val="0"/>
        </w:rPr>
        <w:t xml:space="preserve">«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0 5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10 20 30 Sources: Virginia Department of Environmental Quality Virginia Department of Conservation and Recreation Virginia Department of Transportation United States Geological Survey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draft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17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Northumberland Louisa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Caroline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Essex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Hanover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80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Lancaster King &amp; Queen 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William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Goochland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6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Middlesex JL18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Powhatan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Richmond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New Kent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Henrico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65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Mathews JL04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Chesterfield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James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Amelia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Poquoson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Emporia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491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Franklin Gloucester Charles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Hopewell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6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Williamsburg Colonial Heights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Petersburg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295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Prince George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8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JL30 JL15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Surry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Dinwiddie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8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JL43 JL41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22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JL57 JL40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Sussex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Norfolk JL56 JL47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Portsmouth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Virginia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Brunswick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45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JL53 Southampton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Greensville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Suffolk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Chesapeake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955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Newport News § ̈¦ 85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Isle of Wight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JL45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River Basin (Lower).docx</dc:title>
</cp:coreProperties>
</file>