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STAMPERS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Mathews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HARCUM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47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 DUTTON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ORDINARY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BLAKES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BEULAH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MOBJACK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GWYNN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GLASS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DIXIE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SOLES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HUDGINS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REDART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FORT NONSENSE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NORTH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MATHEWS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DIGGS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CARDINAL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RUFF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WARE NECK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LABAN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PORT HAYWOOD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HAYES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PEARY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SELDEN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NEW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NAXERA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BAVON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NEW POINT COMFORT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Mathews County, VA - Commonwealth of Virginia Storm Surge Inundation Maps.docx</dc:title>
</cp:coreProperties>
</file>