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hive启动方式一: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hive交互shell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直接在hive安装的bin目录下启动hive</w:t>
      </w:r>
    </w:p>
    <w:p>
      <w:pPr>
        <w:ind w:firstLine="420" w:firstLineChars="0"/>
      </w:pPr>
      <w:r>
        <w:drawing>
          <wp:inline distT="0" distB="0" distL="114300" distR="114300">
            <wp:extent cx="3199765" cy="4857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如果已经配置了环境变量，直接hive就行了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Hive启动方式二：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把hive启动为thift服务，这样其他主机就可以通过客户端连接hive进行操作了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假设hive安装在mini01上：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在mini01上启动服务    ./hiveserver2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在集群中任意一台安装了hive的机器上进入hive/bin下，启动客户端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输入命令hive/bin/beeline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启动了客户端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输入命令连接hiveserver2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beeline&gt; !</w:t>
      </w:r>
      <w:bookmarkStart w:id="0" w:name="_GoBack"/>
      <w:bookmarkEnd w:id="0"/>
      <w:r>
        <w:rPr>
          <w:rFonts w:hint="eastAsia"/>
          <w:lang w:val="en-US" w:eastAsia="zh-CN"/>
        </w:rPr>
        <w:t>connect jdbc:hive2//mini1:10000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515BD"/>
    <w:rsid w:val="674E6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gaobin</cp:lastModifiedBy>
  <dcterms:modified xsi:type="dcterms:W3CDTF">2017-01-15T08:13:07Z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