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系统权限管理由如下几个模块共同构成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新建菜单并且在菜单表中存放权限的</w:t>
      </w: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19"/>
          <w:szCs w:val="19"/>
          <w:highlight w:val="yellow"/>
          <w:shd w:val="clear" w:fill="FFFFFF"/>
        </w:rPr>
        <w:t>权限标识</w:t>
      </w:r>
      <w:r>
        <w:rPr>
          <w:rFonts w:hint="eastAsia"/>
          <w:lang w:val="en-US" w:eastAsia="zh-CN"/>
        </w:rPr>
        <w:t>（Controller类中</w:t>
      </w: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19"/>
          <w:szCs w:val="19"/>
          <w:shd w:val="clear" w:fill="FFFFFF"/>
        </w:rPr>
        <w:t>@RequiresPermissions("</w:t>
      </w: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19"/>
          <w:szCs w:val="19"/>
          <w:highlight w:val="yellow"/>
          <w:shd w:val="clear" w:fill="FFFFFF"/>
        </w:rPr>
        <w:t>权限标识</w:t>
      </w: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19"/>
          <w:szCs w:val="19"/>
          <w:shd w:val="clear" w:fill="FFFFFF"/>
        </w:rPr>
        <w:t>")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1770" cy="22656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1193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添加一名角色，这个时候角色还不会起任何作用</w:t>
      </w:r>
    </w:p>
    <w:p>
      <w:r>
        <w:drawing>
          <wp:inline distT="0" distB="0" distL="114300" distR="114300">
            <wp:extent cx="5267960" cy="2499360"/>
            <wp:effectExtent l="0" t="0" r="88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给角色绑定可访问的菜单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670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创建新用户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1.点击新增</w:t>
      </w:r>
    </w:p>
    <w:p>
      <w:r>
        <w:drawing>
          <wp:inline distT="0" distB="0" distL="114300" distR="114300">
            <wp:extent cx="5262245" cy="218440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2.填写账户基本信息，及选择用户角色（用户角色中会包含用户的权限，用户的权限都会配置在系统菜单中），保存》重新登录</w:t>
      </w:r>
      <w:bookmarkStart w:id="0" w:name="_GoBack"/>
      <w:bookmarkEnd w:id="0"/>
    </w:p>
    <w:p>
      <w:r>
        <w:drawing>
          <wp:inline distT="0" distB="0" distL="114300" distR="114300">
            <wp:extent cx="5257165" cy="2421890"/>
            <wp:effectExtent l="0" t="0" r="6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GB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AFAF5"/>
    <w:multiLevelType w:val="singleLevel"/>
    <w:tmpl w:val="3CBAFA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2102B"/>
    <w:rsid w:val="68F35EC6"/>
    <w:rsid w:val="69B754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hantao</dc:creator>
  <cp:lastModifiedBy>Mars.苏</cp:lastModifiedBy>
  <dcterms:modified xsi:type="dcterms:W3CDTF">2018-04-23T02:16:39Z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