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600" w:type="dxa"/>
              <w:bottom w:w="600" w:type="dxa"/>
              <w:start w:w="400" w:type="dxa"/>
              <w:end w:w="400" w:type="dxa"/>
            </w:tcMar>
          </w:tcPr>
          <w:p>
            <w:pPr>
              <w:jc w:val="center"/>
            </w:pPr>
            <w:r>
              <w:rPr>
                <w:rFonts w:ascii="Calibri" w:hAnsi="Calibri" w:eastAsia="Calibri"/>
                <w:b/>
                <w:i w:val="0"/>
                <w:color w:val="FFFFFF"/>
                <w:sz w:val="68"/>
              </w:rPr>
              <w:t>AI-NATIVE ERP</w:t>
            </w:r>
          </w:p>
          <w:p>
            <w:pPr>
              <w:spacing w:before="120"/>
              <w:jc w:val="center"/>
            </w:pPr>
            <w:r>
              <w:rPr>
                <w:rFonts w:ascii="Calibri" w:hAnsi="Calibri" w:eastAsia="Calibri"/>
                <w:b w:val="0"/>
                <w:i w:val="0"/>
                <w:color w:val="CFE1F7"/>
                <w:sz w:val="36"/>
              </w:rPr>
              <w:t>Product &amp; Market Strategy</w:t>
            </w:r>
          </w:p>
          <w:p>
            <w:pPr>
              <w:spacing w:before="280"/>
              <w:jc w:val="center"/>
            </w:pPr>
            <w:r>
              <w:rPr>
                <w:rFonts w:ascii="Calibri" w:hAnsi="Calibri" w:eastAsia="Calibri"/>
                <w:b w:val="0"/>
                <w:i/>
                <w:color w:val="FFFFFF"/>
                <w:sz w:val="24"/>
              </w:rPr>
              <w:t>Built AI-first. Priced transparently. Compliance-ready for Turkey from day one.</w:t>
            </w:r>
          </w:p>
        </w:tc>
      </w:tr>
    </w:tbl>
    <w:p/>
    <w:p>
      <w:pPr>
        <w:spacing w:after="40" w:before="0"/>
        <w:jc w:val="center"/>
      </w:pPr>
      <w:r>
        <w:rPr>
          <w:rFonts w:ascii="Calibri" w:hAnsi="Calibri" w:eastAsia="Calibri"/>
          <w:b w:val="0"/>
          <w:i w:val="0"/>
          <w:color w:val="52514E"/>
          <w:sz w:val="26"/>
        </w:rPr>
        <w:t>A challenger to SAP and Logo Yazılım — a modular, AI-native ERP platform</w:t>
      </w:r>
    </w:p>
    <w:p>
      <w:pPr>
        <w:spacing w:after="40" w:before="0"/>
        <w:jc w:val="center"/>
      </w:pPr>
      <w:r>
        <w:rPr>
          <w:rFonts w:ascii="Calibri" w:hAnsi="Calibri" w:eastAsia="Calibri"/>
          <w:b w:val="0"/>
          <w:i w:val="0"/>
          <w:color w:val="898781"/>
          <w:sz w:val="20"/>
        </w:rPr>
        <w:t>Draft v1  |  July 2026  |  Confidential — internal strategy document</w:t>
      </w:r>
    </w:p>
    <w:p/>
    <w:p/>
    <w:p>
      <w:pPr>
        <w:keepNext/>
        <w:spacing w:before="280" w:after="120"/>
        <w:pBdr>
          <w:bottom w:val="single" w:sz="6" w:space="2" w:color="D9E4F2"/>
        </w:pBdr>
      </w:pPr>
      <w:r>
        <w:rPr>
          <w:rFonts w:ascii="Calibri" w:hAnsi="Calibri" w:eastAsia="Calibri"/>
          <w:b/>
          <w:i w:val="0"/>
          <w:color w:val="0D366B"/>
          <w:sz w:val="28"/>
        </w:rPr>
        <w:t>Contents</w:t>
      </w:r>
    </w:p>
    <w:p>
      <w:r>
        <w:fldChar w:fldCharType="begin"/>
        <w:instrText xml:space="preserve">TOC \o "1-2" \h \z \u</w:instrText>
        <w:fldChar w:fldCharType="separate"/>
        <w:t>Right-click and choose 'Update Field' to build the table of contents.</w:t>
        <w:fldChar w:fldCharType="end"/>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1   EXECUTIVE SUMMARY</w:t>
            </w:r>
          </w:p>
        </w:tc>
      </w:tr>
    </w:tbl>
    <w:p>
      <w:pPr>
        <w:spacing w:after="40"/>
      </w:pPr>
    </w:p>
    <w:p>
      <w:pPr>
        <w:spacing w:after="120" w:before="0"/>
        <w:jc w:val="left"/>
      </w:pPr>
      <w:r>
        <w:rPr>
          <w:rFonts w:ascii="Calibri" w:hAnsi="Calibri" w:eastAsia="Calibri"/>
          <w:b w:val="0"/>
          <w:i w:val="0"/>
          <w:color w:val="0B0B0B"/>
          <w:sz w:val="23"/>
        </w:rPr>
        <w:t>SAP and legacy ERP vendors sell two things beyond software: complexity and dependency. Complexity justifies armies of consultants at $150–$2,500/day; dependency (proprietary data models, custom code, multi-year upgrade cycles) locks customers in once the initial $500K–$20M implementation bill is paid.</w:t>
      </w:r>
    </w:p>
    <w:p>
      <w:pPr>
        <w:spacing w:after="120" w:before="0"/>
        <w:jc w:val="left"/>
      </w:pPr>
      <w:r>
        <w:rPr>
          <w:rFonts w:ascii="Calibri" w:hAnsi="Calibri" w:eastAsia="Calibri"/>
          <w:b w:val="0"/>
          <w:i w:val="0"/>
          <w:color w:val="0B0B0B"/>
          <w:sz w:val="23"/>
        </w:rPr>
        <w:t>Logo Yazılım, the dominant ERP vendor in Turkey, avoids SAP's price tag but inherits a version of the same problem at SMB scale: dated UX, unreliable cloud infrastructure, opaque reseller-quoted pricing, and a support experience customers openly complain about — yet it wins because it handles the one thing that is non-negotiable in Turkey (GİB e-transformation compliance) reliably enough, and because the entire accountant/consultant ecosystem already knows it.</w:t>
      </w:r>
    </w:p>
    <w:p>
      <w:pPr>
        <w:keepNext/>
        <w:spacing w:before="280" w:after="120"/>
        <w:pBdr>
          <w:bottom w:val="single" w:sz="6" w:space="2" w:color="D9E4F2"/>
        </w:pBdr>
      </w:pPr>
      <w:r>
        <w:rPr>
          <w:rFonts w:ascii="Calibri" w:hAnsi="Calibri" w:eastAsia="Calibri"/>
          <w:b/>
          <w:i w:val="0"/>
          <w:color w:val="2A78D6"/>
          <w:sz w:val="26"/>
        </w:rPr>
        <w:t>The Opening</w:t>
      </w:r>
    </w:p>
    <w:p>
      <w:pPr>
        <w:spacing w:after="120" w:before="0"/>
        <w:jc w:val="left"/>
      </w:pPr>
      <w:r>
        <w:rPr>
          <w:rFonts w:ascii="Calibri" w:hAnsi="Calibri" w:eastAsia="Calibri"/>
          <w:b w:val="0"/>
          <w:i w:val="0"/>
          <w:color w:val="0B0B0B"/>
          <w:sz w:val="23"/>
        </w:rPr>
        <w:t>ERP AI today is bolted onto 20–40 year old data architectures. SAP's Joule, Microsoft's Copilot, and Oracle's Fusion AI Agents are real and improving fast, but were retrofitted onto schemas designed before LLMs existed. A wave of well-funded startups (Rillet, DualEntry, Campfire, Light, Everest — collectively raising $400M+ in 18 months) is betting an AI-native rebuild wins the next generation of mid-market ERP. None of them target Turkey. None have solved Turkish e-Devlet compliance.</w:t>
      </w:r>
    </w:p>
    <w:p>
      <w:pPr>
        <w:keepNext/>
        <w:spacing w:before="280" w:after="120"/>
        <w:pBdr>
          <w:bottom w:val="single" w:sz="6" w:space="2" w:color="D9E4F2"/>
        </w:pBdr>
      </w:pPr>
      <w:r>
        <w:rPr>
          <w:rFonts w:ascii="Calibri" w:hAnsi="Calibri" w:eastAsia="Calibri"/>
          <w:b/>
          <w:i w:val="0"/>
          <w:color w:val="2A78D6"/>
          <w:sz w:val="26"/>
        </w:rPr>
        <w:t>Our Thesis</w:t>
      </w:r>
    </w:p>
    <w:p>
      <w:pPr>
        <w:spacing w:after="120" w:before="0"/>
        <w:jc w:val="left"/>
      </w:pPr>
      <w:r>
        <w:rPr>
          <w:rFonts w:ascii="Calibri" w:hAnsi="Calibri" w:eastAsia="Calibri"/>
          <w:b w:val="0"/>
          <w:i w:val="0"/>
          <w:color w:val="0B0B0B"/>
          <w:sz w:val="23"/>
        </w:rPr>
        <w:t>Build an ERP that is AI-native from the data model up, sold as a modular core plus packages, compliance-first for Turkey from day one, and priced transparently — a structural contrast to a market where “contact your reseller for a quote” is the norm.</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3249"/>
        <w:gridCol w:w="3249"/>
        <w:gridCol w:w="3249"/>
      </w:tblGrid>
      <w:tr>
        <w:tc>
          <w:tcPr>
            <w:tcW w:type="dxa" w:w="1871"/>
            <w:shd w:val="clear" w:color="auto" w:fill="0D366B"/>
            <w:tcMar>
              <w:top w:w="60" w:type="dxa"/>
              <w:bottom w:w="60" w:type="dxa"/>
              <w:start w:w="100" w:type="dxa"/>
              <w:end w:w="100" w:type="dxa"/>
            </w:tcMar>
          </w:tcPr>
          <w:p>
            <w:r>
              <w:rPr>
                <w:rFonts w:ascii="Calibri" w:hAnsi="Calibri" w:eastAsia="Calibri"/>
                <w:b/>
                <w:i w:val="0"/>
                <w:color w:val="FFFFFF"/>
                <w:sz w:val="20"/>
              </w:rPr>
              <w:t>Dimension</w:t>
            </w:r>
          </w:p>
        </w:tc>
        <w:tc>
          <w:tcPr>
            <w:tcW w:type="dxa" w:w="3402"/>
            <w:shd w:val="clear" w:color="auto" w:fill="0D366B"/>
            <w:tcMar>
              <w:top w:w="60" w:type="dxa"/>
              <w:bottom w:w="60" w:type="dxa"/>
              <w:start w:w="100" w:type="dxa"/>
              <w:end w:w="100" w:type="dxa"/>
            </w:tcMar>
          </w:tcPr>
          <w:p>
            <w:r>
              <w:rPr>
                <w:rFonts w:ascii="Calibri" w:hAnsi="Calibri" w:eastAsia="Calibri"/>
                <w:b/>
                <w:i w:val="0"/>
                <w:color w:val="FFFFFF"/>
                <w:sz w:val="20"/>
              </w:rPr>
              <w:t>Primary Market</w:t>
            </w:r>
          </w:p>
        </w:tc>
        <w:tc>
          <w:tcPr>
            <w:tcW w:type="dxa" w:w="3402"/>
            <w:shd w:val="clear" w:color="auto" w:fill="0D366B"/>
            <w:tcMar>
              <w:top w:w="60" w:type="dxa"/>
              <w:bottom w:w="60" w:type="dxa"/>
              <w:start w:w="100" w:type="dxa"/>
              <w:end w:w="100" w:type="dxa"/>
            </w:tcMar>
          </w:tcPr>
          <w:p>
            <w:r>
              <w:rPr>
                <w:rFonts w:ascii="Calibri" w:hAnsi="Calibri" w:eastAsia="Calibri"/>
                <w:b/>
                <w:i w:val="0"/>
                <w:color w:val="FFFFFF"/>
                <w:sz w:val="20"/>
              </w:rPr>
              <w:t>Secondary Market</w:t>
            </w:r>
          </w:p>
        </w:tc>
      </w:tr>
      <w:tr>
        <w:tc>
          <w:tcPr>
            <w:tcW w:type="dxa" w:w="1871"/>
            <w:tcMar>
              <w:top w:w="60" w:type="dxa"/>
              <w:bottom w:w="60" w:type="dxa"/>
              <w:start w:w="100" w:type="dxa"/>
              <w:end w:w="100" w:type="dxa"/>
            </w:tcMar>
          </w:tcPr>
          <w:p>
            <w:pPr>
              <w:spacing w:after="0"/>
            </w:pPr>
            <w:r>
              <w:rPr>
                <w:rFonts w:ascii="Calibri" w:hAnsi="Calibri" w:eastAsia="Calibri"/>
                <w:b w:val="0"/>
                <w:i w:val="0"/>
                <w:color w:val="0B0B0B"/>
                <w:sz w:val="20"/>
              </w:rPr>
              <w:t>Focus</w:t>
            </w:r>
          </w:p>
        </w:tc>
        <w:tc>
          <w:tcPr>
            <w:tcW w:type="dxa" w:w="3402"/>
            <w:tcMar>
              <w:top w:w="60" w:type="dxa"/>
              <w:bottom w:w="60" w:type="dxa"/>
              <w:start w:w="100" w:type="dxa"/>
              <w:end w:w="100" w:type="dxa"/>
            </w:tcMar>
          </w:tcPr>
          <w:p>
            <w:pPr>
              <w:spacing w:after="0"/>
            </w:pPr>
            <w:r>
              <w:rPr>
                <w:rFonts w:ascii="Calibri" w:hAnsi="Calibri" w:eastAsia="Calibri"/>
                <w:b w:val="0"/>
                <w:i w:val="0"/>
                <w:color w:val="0B0B0B"/>
                <w:sz w:val="20"/>
              </w:rPr>
              <w:t>Turkey — underserved SMEs (76%+ of 10–49-employee firms run no ERP today)</w:t>
            </w:r>
          </w:p>
        </w:tc>
        <w:tc>
          <w:tcPr>
            <w:tcW w:type="dxa" w:w="3402"/>
            <w:tcMar>
              <w:top w:w="60" w:type="dxa"/>
              <w:bottom w:w="60" w:type="dxa"/>
              <w:start w:w="100" w:type="dxa"/>
              <w:end w:w="100" w:type="dxa"/>
            </w:tcMar>
          </w:tcPr>
          <w:p>
            <w:pPr>
              <w:spacing w:after="0"/>
            </w:pPr>
            <w:r>
              <w:rPr>
                <w:rFonts w:ascii="Calibri" w:hAnsi="Calibri" w:eastAsia="Calibri"/>
                <w:b w:val="0"/>
                <w:i w:val="0"/>
                <w:color w:val="0B0B0B"/>
                <w:sz w:val="20"/>
              </w:rPr>
              <w:t>English-speaking SMB / mid-market, global</w:t>
            </w:r>
          </w:p>
        </w:tc>
      </w:tr>
      <w:tr>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Entry point</w:t>
            </w:r>
          </w:p>
        </w:tc>
        <w:tc>
          <w:tcPr>
            <w:tcW w:type="dxa" w:w="340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Small end first, not a head-on fight for Logo's enterprise accounts</w:t>
            </w:r>
          </w:p>
        </w:tc>
        <w:tc>
          <w:tcPr>
            <w:tcW w:type="dxa" w:w="340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Compete in the same “AI-native ERP” category as Rillet / DualEntry</w:t>
            </w:r>
          </w:p>
        </w:tc>
      </w:tr>
      <w:tr>
        <w:tc>
          <w:tcPr>
            <w:tcW w:type="dxa" w:w="1871"/>
            <w:tcMar>
              <w:top w:w="60" w:type="dxa"/>
              <w:bottom w:w="60" w:type="dxa"/>
              <w:start w:w="100" w:type="dxa"/>
              <w:end w:w="100" w:type="dxa"/>
            </w:tcMar>
          </w:tcPr>
          <w:p>
            <w:pPr>
              <w:spacing w:after="0"/>
            </w:pPr>
            <w:r>
              <w:rPr>
                <w:rFonts w:ascii="Calibri" w:hAnsi="Calibri" w:eastAsia="Calibri"/>
                <w:b w:val="0"/>
                <w:i w:val="0"/>
                <w:color w:val="0B0B0B"/>
                <w:sz w:val="20"/>
              </w:rPr>
              <w:t>Differentiator</w:t>
            </w:r>
          </w:p>
        </w:tc>
        <w:tc>
          <w:tcPr>
            <w:tcW w:type="dxa" w:w="3402"/>
            <w:tcMar>
              <w:top w:w="60" w:type="dxa"/>
              <w:bottom w:w="60" w:type="dxa"/>
              <w:start w:w="100" w:type="dxa"/>
              <w:end w:w="100" w:type="dxa"/>
            </w:tcMar>
          </w:tcPr>
          <w:p>
            <w:pPr>
              <w:spacing w:after="0"/>
            </w:pPr>
            <w:r>
              <w:rPr>
                <w:rFonts w:ascii="Calibri" w:hAnsi="Calibri" w:eastAsia="Calibri"/>
                <w:b w:val="0"/>
                <w:i w:val="0"/>
                <w:color w:val="0B0B0B"/>
                <w:sz w:val="20"/>
              </w:rPr>
              <w:t>Reliable compliance + modern AI-native UX vs. Logo's dated stack</w:t>
            </w:r>
          </w:p>
        </w:tc>
        <w:tc>
          <w:tcPr>
            <w:tcW w:type="dxa" w:w="3402"/>
            <w:tcMar>
              <w:top w:w="60" w:type="dxa"/>
              <w:bottom w:w="60" w:type="dxa"/>
              <w:start w:w="100" w:type="dxa"/>
              <w:end w:w="100" w:type="dxa"/>
            </w:tcMar>
          </w:tcPr>
          <w:p>
            <w:pPr>
              <w:spacing w:after="0"/>
            </w:pPr>
            <w:r>
              <w:rPr>
                <w:rFonts w:ascii="Calibri" w:hAnsi="Calibri" w:eastAsia="Calibri"/>
                <w:b w:val="0"/>
                <w:i w:val="0"/>
                <w:color w:val="0B0B0B"/>
                <w:sz w:val="20"/>
              </w:rPr>
              <w:t>Full operational scope (not finance-only) + modular Odoo-like pricing</w:t>
            </w:r>
          </w:p>
        </w:tc>
      </w:tr>
    </w:tbl>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2   VISION &amp; PRODUCT THESIS</w:t>
            </w:r>
          </w:p>
        </w:tc>
      </w:tr>
    </w:tbl>
    <w:p>
      <w:pPr>
        <w:spacing w:after="40"/>
      </w:pPr>
    </w:p>
    <w:p>
      <w:pPr>
        <w:pStyle w:val="ListBullet"/>
        <w:spacing w:after="80"/>
        <w:ind w:left="283"/>
      </w:pPr>
      <w:r>
        <w:rPr>
          <w:rFonts w:ascii="Calibri" w:hAnsi="Calibri" w:eastAsia="Calibri"/>
          <w:b/>
          <w:i w:val="0"/>
          <w:color w:val="0D366B"/>
          <w:sz w:val="22"/>
        </w:rPr>
        <w:t xml:space="preserve">AI is infrastructure, not a feature.  </w:t>
      </w:r>
      <w:r>
        <w:rPr>
          <w:rFonts w:ascii="Calibri" w:hAnsi="Calibri" w:eastAsia="Calibri"/>
          <w:b w:val="0"/>
          <w:i w:val="0"/>
          <w:color w:val="0B0B0B"/>
          <w:sz w:val="22"/>
        </w:rPr>
        <w:t>Every screen, workflow, and record has an AI layer that can explain it, query across it, and — with permission and confirmation — act on it. Default architecture, not an upsell.</w:t>
      </w:r>
    </w:p>
    <w:p>
      <w:pPr>
        <w:pStyle w:val="ListBullet"/>
        <w:spacing w:after="80"/>
        <w:ind w:left="283"/>
      </w:pPr>
      <w:r>
        <w:rPr>
          <w:rFonts w:ascii="Calibri" w:hAnsi="Calibri" w:eastAsia="Calibri"/>
          <w:b/>
          <w:i w:val="0"/>
          <w:color w:val="0D366B"/>
          <w:sz w:val="22"/>
        </w:rPr>
        <w:t xml:space="preserve">Modular by design, not by accident.  </w:t>
      </w:r>
      <w:r>
        <w:rPr>
          <w:rFonts w:ascii="Calibri" w:hAnsi="Calibri" w:eastAsia="Calibri"/>
          <w:b w:val="0"/>
          <w:i w:val="0"/>
          <w:color w:val="0B0B0B"/>
          <w:sz w:val="22"/>
        </w:rPr>
        <w:t>A company buys a Core (accounting, users, permissions, AI layer, compliance engine) and adds Packages (Purchasing, Inventory, Manufacturing, HR, CRM, POS…) as needed — each a real product boundary, independently priced, sharing one data model and one AI layer.</w:t>
      </w:r>
    </w:p>
    <w:p>
      <w:pPr>
        <w:pStyle w:val="ListBullet"/>
        <w:spacing w:after="80"/>
        <w:ind w:left="283"/>
      </w:pPr>
      <w:r>
        <w:rPr>
          <w:rFonts w:ascii="Calibri" w:hAnsi="Calibri" w:eastAsia="Calibri"/>
          <w:b/>
          <w:i w:val="0"/>
          <w:color w:val="0D366B"/>
          <w:sz w:val="22"/>
        </w:rPr>
        <w:t xml:space="preserve">Compliance is a platform capability, not a bolt-on.  </w:t>
      </w:r>
      <w:r>
        <w:rPr>
          <w:rFonts w:ascii="Calibri" w:hAnsi="Calibri" w:eastAsia="Calibri"/>
          <w:b w:val="0"/>
          <w:i w:val="0"/>
          <w:color w:val="0B0B0B"/>
          <w:sz w:val="22"/>
        </w:rPr>
        <w:t>Country-specific legal/tax/e-government requirements (starting with Turkey) are modeled as a pluggable Localization Pack layer the core is built to support from day one — not retrofitted later like most vendors do when expanding geographies.</w:t>
      </w:r>
    </w:p>
    <w:p>
      <w:pPr>
        <w:pStyle w:val="ListBullet"/>
        <w:spacing w:after="80"/>
        <w:ind w:left="283"/>
      </w:pPr>
      <w:r>
        <w:rPr>
          <w:rFonts w:ascii="Calibri" w:hAnsi="Calibri" w:eastAsia="Calibri"/>
          <w:b/>
          <w:i w:val="0"/>
          <w:color w:val="0D366B"/>
          <w:sz w:val="22"/>
        </w:rPr>
        <w:t xml:space="preserve">Transparent, predictable pricing.  </w:t>
      </w:r>
      <w:r>
        <w:rPr>
          <w:rFonts w:ascii="Calibri" w:hAnsi="Calibri" w:eastAsia="Calibri"/>
          <w:b w:val="0"/>
          <w:i w:val="0"/>
          <w:color w:val="0B0B0B"/>
          <w:sz w:val="22"/>
        </w:rPr>
        <w:t>Every tier and package has a public price — a direct contrast to both SAP (opaque, 50%+ negotiation swings) and Logo/Turkish vendors (reseller-quoted, “contact a partner”).</w:t>
      </w:r>
    </w:p>
    <w:p>
      <w:pPr>
        <w:pStyle w:val="ListBullet"/>
        <w:spacing w:after="80"/>
        <w:ind w:left="283"/>
      </w:pPr>
      <w:r>
        <w:rPr>
          <w:rFonts w:ascii="Calibri" w:hAnsi="Calibri" w:eastAsia="Calibri"/>
          <w:b/>
          <w:i w:val="0"/>
          <w:color w:val="0D366B"/>
          <w:sz w:val="22"/>
        </w:rPr>
        <w:t xml:space="preserve">Fast time-to-value.  </w:t>
      </w:r>
      <w:r>
        <w:rPr>
          <w:rFonts w:ascii="Calibri" w:hAnsi="Calibri" w:eastAsia="Calibri"/>
          <w:b w:val="0"/>
          <w:i w:val="0"/>
          <w:color w:val="0B0B0B"/>
          <w:sz w:val="22"/>
        </w:rPr>
        <w:t>Legacy ERP implementations run 6 months to multiple years. AI-native competitors market 4-week implementations. We target the same order of magnitude for Core + 1–2 packages, using AI itself to accelerate migration and configuration — a real product feature, not just a services efficiency.</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3   MARKET ANALYSIS</w:t>
            </w:r>
          </w:p>
        </w:tc>
      </w:tr>
    </w:tbl>
    <w:p>
      <w:pPr>
        <w:spacing w:after="40"/>
      </w:pPr>
    </w:p>
    <w:p>
      <w:pPr>
        <w:keepNext/>
        <w:spacing w:before="280" w:after="120"/>
        <w:pBdr>
          <w:bottom w:val="single" w:sz="6" w:space="2" w:color="D9E4F2"/>
        </w:pBdr>
      </w:pPr>
      <w:r>
        <w:rPr>
          <w:rFonts w:ascii="Calibri" w:hAnsi="Calibri" w:eastAsia="Calibri"/>
          <w:b/>
          <w:i w:val="0"/>
          <w:color w:val="2A78D6"/>
          <w:sz w:val="26"/>
        </w:rPr>
        <w:t>3.1  Global ERP Landscape</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1949"/>
        <w:gridCol w:w="1949"/>
        <w:gridCol w:w="1949"/>
        <w:gridCol w:w="1949"/>
        <w:gridCol w:w="1949"/>
      </w:tblGrid>
      <w:tr>
        <w:tc>
          <w:tcPr>
            <w:tcW w:type="dxa" w:w="1814"/>
            <w:shd w:val="clear" w:color="auto" w:fill="0D366B"/>
            <w:tcMar>
              <w:top w:w="60" w:type="dxa"/>
              <w:bottom w:w="60" w:type="dxa"/>
              <w:start w:w="100" w:type="dxa"/>
              <w:end w:w="100" w:type="dxa"/>
            </w:tcMar>
          </w:tcPr>
          <w:p>
            <w:r>
              <w:rPr>
                <w:rFonts w:ascii="Calibri" w:hAnsi="Calibri" w:eastAsia="Calibri"/>
                <w:b/>
                <w:i w:val="0"/>
                <w:color w:val="FFFFFF"/>
                <w:sz w:val="19"/>
              </w:rPr>
              <w:t>Vendor</w:t>
            </w:r>
          </w:p>
        </w:tc>
        <w:tc>
          <w:tcPr>
            <w:tcW w:type="dxa" w:w="1304"/>
            <w:shd w:val="clear" w:color="auto" w:fill="0D366B"/>
            <w:tcMar>
              <w:top w:w="60" w:type="dxa"/>
              <w:bottom w:w="60" w:type="dxa"/>
              <w:start w:w="100" w:type="dxa"/>
              <w:end w:w="100" w:type="dxa"/>
            </w:tcMar>
          </w:tcPr>
          <w:p>
            <w:r>
              <w:rPr>
                <w:rFonts w:ascii="Calibri" w:hAnsi="Calibri" w:eastAsia="Calibri"/>
                <w:b/>
                <w:i w:val="0"/>
                <w:color w:val="FFFFFF"/>
                <w:sz w:val="19"/>
              </w:rPr>
              <w:t>Target</w:t>
            </w:r>
          </w:p>
        </w:tc>
        <w:tc>
          <w:tcPr>
            <w:tcW w:type="dxa" w:w="1871"/>
            <w:shd w:val="clear" w:color="auto" w:fill="0D366B"/>
            <w:tcMar>
              <w:top w:w="60" w:type="dxa"/>
              <w:bottom w:w="60" w:type="dxa"/>
              <w:start w:w="100" w:type="dxa"/>
              <w:end w:w="100" w:type="dxa"/>
            </w:tcMar>
          </w:tcPr>
          <w:p>
            <w:r>
              <w:rPr>
                <w:rFonts w:ascii="Calibri" w:hAnsi="Calibri" w:eastAsia="Calibri"/>
                <w:b/>
                <w:i w:val="0"/>
                <w:color w:val="FFFFFF"/>
                <w:sz w:val="19"/>
              </w:rPr>
              <w:t>Pricing Model</w:t>
            </w:r>
          </w:p>
        </w:tc>
        <w:tc>
          <w:tcPr>
            <w:tcW w:type="dxa" w:w="2438"/>
            <w:shd w:val="clear" w:color="auto" w:fill="0D366B"/>
            <w:tcMar>
              <w:top w:w="60" w:type="dxa"/>
              <w:bottom w:w="60" w:type="dxa"/>
              <w:start w:w="100" w:type="dxa"/>
              <w:end w:w="100" w:type="dxa"/>
            </w:tcMar>
          </w:tcPr>
          <w:p>
            <w:r>
              <w:rPr>
                <w:rFonts w:ascii="Calibri" w:hAnsi="Calibri" w:eastAsia="Calibri"/>
                <w:b/>
                <w:i w:val="0"/>
                <w:color w:val="FFFFFF"/>
                <w:sz w:val="19"/>
              </w:rPr>
              <w:t>Approx. Cost</w:t>
            </w:r>
          </w:p>
        </w:tc>
        <w:tc>
          <w:tcPr>
            <w:tcW w:type="dxa" w:w="2211"/>
            <w:shd w:val="clear" w:color="auto" w:fill="0D366B"/>
            <w:tcMar>
              <w:top w:w="60" w:type="dxa"/>
              <w:bottom w:w="60" w:type="dxa"/>
              <w:start w:w="100" w:type="dxa"/>
              <w:end w:w="100" w:type="dxa"/>
            </w:tcMar>
          </w:tcPr>
          <w:p>
            <w:r>
              <w:rPr>
                <w:rFonts w:ascii="Calibri" w:hAnsi="Calibri" w:eastAsia="Calibri"/>
                <w:b/>
                <w:i w:val="0"/>
                <w:color w:val="FFFFFF"/>
                <w:sz w:val="19"/>
              </w:rPr>
              <w:t>AI Copilot</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18"/>
              </w:rPr>
              <w:t>SAP S/4HANA Cloud</w:t>
            </w:r>
          </w:p>
        </w:tc>
        <w:tc>
          <w:tcPr>
            <w:tcW w:type="dxa" w:w="1304"/>
            <w:tcMar>
              <w:top w:w="60" w:type="dxa"/>
              <w:bottom w:w="60" w:type="dxa"/>
              <w:start w:w="100" w:type="dxa"/>
              <w:end w:w="100" w:type="dxa"/>
            </w:tcMar>
          </w:tcPr>
          <w:p>
            <w:pPr>
              <w:spacing w:after="0"/>
            </w:pPr>
            <w:r>
              <w:rPr>
                <w:rFonts w:ascii="Calibri" w:hAnsi="Calibri" w:eastAsia="Calibri"/>
                <w:b w:val="0"/>
                <w:i w:val="0"/>
                <w:color w:val="0B0B0B"/>
                <w:sz w:val="18"/>
              </w:rPr>
              <w:t>Enterprise</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8"/>
              </w:rPr>
              <w:t>Per-user/month, public vs. private edition</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8"/>
              </w:rPr>
              <w:t>$150–400/user/mo list; enterprise deals often 50%+ off. 3-yr TCO $150K–$600K mid-market; full implementations $1.5M–$4M+; SI fees = 40–60% of project cost.</w:t>
            </w:r>
          </w:p>
        </w:tc>
        <w:tc>
          <w:tcPr>
            <w:tcW w:type="dxa" w:w="2211"/>
            <w:tcMar>
              <w:top w:w="60" w:type="dxa"/>
              <w:bottom w:w="60" w:type="dxa"/>
              <w:start w:w="100" w:type="dxa"/>
              <w:end w:w="100" w:type="dxa"/>
            </w:tcMar>
          </w:tcPr>
          <w:p>
            <w:pPr>
              <w:spacing w:after="0"/>
            </w:pPr>
            <w:r>
              <w:rPr>
                <w:rFonts w:ascii="Calibri" w:hAnsi="Calibri" w:eastAsia="Calibri"/>
                <w:b w:val="0"/>
                <w:i w:val="0"/>
                <w:color w:val="0B0B0B"/>
                <w:sz w:val="18"/>
              </w:rPr>
              <w:t>Joule — base tier free (action-allowance limited); Premium metered in AI Units (~€7/unit)</w:t>
            </w:r>
          </w:p>
        </w:tc>
      </w:tr>
      <w:tr>
        <w:tc>
          <w:tcPr>
            <w:tcW w:type="dxa" w:w="181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SAP Business One</w:t>
            </w:r>
          </w:p>
        </w:tc>
        <w:tc>
          <w:tcPr>
            <w:tcW w:type="dxa" w:w="130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Small business</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Per-user/year</w:t>
            </w:r>
          </w:p>
        </w:tc>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Professional $1,800–2,600/user/yr; Limited $650–1,100/user/yr</w:t>
            </w:r>
          </w:p>
        </w:tc>
        <w:tc>
          <w:tcPr>
            <w:tcW w:type="dxa" w:w="221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Joule (lighter)</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18"/>
              </w:rPr>
              <w:t>Oracle NetSuite</w:t>
            </w:r>
          </w:p>
        </w:tc>
        <w:tc>
          <w:tcPr>
            <w:tcW w:type="dxa" w:w="1304"/>
            <w:tcMar>
              <w:top w:w="60" w:type="dxa"/>
              <w:bottom w:w="60" w:type="dxa"/>
              <w:start w:w="100" w:type="dxa"/>
              <w:end w:w="100" w:type="dxa"/>
            </w:tcMar>
          </w:tcPr>
          <w:p>
            <w:pPr>
              <w:spacing w:after="0"/>
            </w:pPr>
            <w:r>
              <w:rPr>
                <w:rFonts w:ascii="Calibri" w:hAnsi="Calibri" w:eastAsia="Calibri"/>
                <w:b w:val="0"/>
                <w:i w:val="0"/>
                <w:color w:val="0B0B0B"/>
                <w:sz w:val="18"/>
              </w:rPr>
              <w:t>Growth / mid-market</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8"/>
              </w:rPr>
              <w:t>Base fee + per-user + per-module add-ons</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8"/>
              </w:rPr>
              <w:t>Base $999–5,000/mo; full user $129–199/user/mo; modules $499–5,000/mo each</w:t>
            </w:r>
          </w:p>
        </w:tc>
        <w:tc>
          <w:tcPr>
            <w:tcW w:type="dxa" w:w="2211"/>
            <w:tcMar>
              <w:top w:w="60" w:type="dxa"/>
              <w:bottom w:w="60" w:type="dxa"/>
              <w:start w:w="100" w:type="dxa"/>
              <w:end w:w="100" w:type="dxa"/>
            </w:tcMar>
          </w:tcPr>
          <w:p>
            <w:pPr>
              <w:spacing w:after="0"/>
            </w:pPr>
            <w:r>
              <w:rPr>
                <w:rFonts w:ascii="Calibri" w:hAnsi="Calibri" w:eastAsia="Calibri"/>
                <w:b w:val="0"/>
                <w:i w:val="0"/>
                <w:color w:val="0B0B0B"/>
                <w:sz w:val="18"/>
              </w:rPr>
              <w:t>Fusion AI Agent Studio (100–600+ prebuilt agents); 2026 tool-calling for write actions</w:t>
            </w:r>
          </w:p>
        </w:tc>
      </w:tr>
      <w:tr>
        <w:tc>
          <w:tcPr>
            <w:tcW w:type="dxa" w:w="181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Microsoft Dynamics 365 BC</w:t>
            </w:r>
          </w:p>
        </w:tc>
        <w:tc>
          <w:tcPr>
            <w:tcW w:type="dxa" w:w="130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SMB / mid-market</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Per named user/month</w:t>
            </w:r>
          </w:p>
        </w:tc>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Essentials $80/user/mo, Premium $110/user/mo, Team Member $8/user/mo</w:t>
            </w:r>
          </w:p>
        </w:tc>
        <w:tc>
          <w:tcPr>
            <w:tcW w:type="dxa" w:w="221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Copilot — base free, advanced metered via Copilot Credits</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18"/>
              </w:rPr>
              <w:t>Odoo</w:t>
            </w:r>
          </w:p>
        </w:tc>
        <w:tc>
          <w:tcPr>
            <w:tcW w:type="dxa" w:w="1304"/>
            <w:tcMar>
              <w:top w:w="60" w:type="dxa"/>
              <w:bottom w:w="60" w:type="dxa"/>
              <w:start w:w="100" w:type="dxa"/>
              <w:end w:w="100" w:type="dxa"/>
            </w:tcMar>
          </w:tcPr>
          <w:p>
            <w:pPr>
              <w:spacing w:after="0"/>
            </w:pPr>
            <w:r>
              <w:rPr>
                <w:rFonts w:ascii="Calibri" w:hAnsi="Calibri" w:eastAsia="Calibri"/>
                <w:b w:val="0"/>
                <w:i w:val="0"/>
                <w:color w:val="0B0B0B"/>
                <w:sz w:val="18"/>
              </w:rPr>
              <w:t>SMB, cost-sensitive</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8"/>
              </w:rPr>
              <w:t>Flat per-user/month, ALL apps included</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8"/>
              </w:rPr>
              <w:t>Standard $24.90/user/mo; Custom $37.40/user/mo; One App Free tier</w:t>
            </w:r>
          </w:p>
        </w:tc>
        <w:tc>
          <w:tcPr>
            <w:tcW w:type="dxa" w:w="2211"/>
            <w:tcMar>
              <w:top w:w="60" w:type="dxa"/>
              <w:bottom w:w="60" w:type="dxa"/>
              <w:start w:w="100" w:type="dxa"/>
              <w:end w:w="100" w:type="dxa"/>
            </w:tcMar>
          </w:tcPr>
          <w:p>
            <w:pPr>
              <w:spacing w:after="0"/>
            </w:pPr>
            <w:r>
              <w:rPr>
                <w:rFonts w:ascii="Calibri" w:hAnsi="Calibri" w:eastAsia="Calibri"/>
                <w:b w:val="0"/>
                <w:i w:val="0"/>
                <w:color w:val="0B0B0B"/>
                <w:sz w:val="18"/>
              </w:rPr>
              <w:t>Native AI (Enterprise only); mostly 3rd-party marketplace add-ons</w:t>
            </w:r>
          </w:p>
        </w:tc>
      </w:tr>
    </w:tbl>
    <w:p>
      <w:pPr>
        <w:spacing w:after="120" w:before="0"/>
        <w:jc w:val="left"/>
      </w:pPr>
      <w:r>
        <w:rPr>
          <w:rFonts w:ascii="Calibri" w:hAnsi="Calibri" w:eastAsia="Calibri"/>
          <w:b w:val="0"/>
          <w:i/>
          <w:color w:val="52514E"/>
          <w:sz w:val="21"/>
        </w:rPr>
        <w:t>Common complaints, recurring across every source: cost opacity and heavy negotiation gaps; consultant/SI dependency eating 40–60% of budgets; multi-year implementation cycles even for “modern” cloud editions; steep UX/training burden; and — the exact wedge every AI-native challenger uses — “AI bolted onto old data models, not built in.”</w:t>
      </w:r>
    </w:p>
    <w:p>
      <w:pPr>
        <w:keepNext/>
        <w:spacing w:before="280" w:after="120"/>
        <w:pBdr>
          <w:bottom w:val="single" w:sz="6" w:space="2" w:color="D9E4F2"/>
        </w:pBdr>
      </w:pPr>
      <w:r>
        <w:rPr>
          <w:rFonts w:ascii="Calibri" w:hAnsi="Calibri" w:eastAsia="Calibri"/>
          <w:b/>
          <w:i w:val="0"/>
          <w:color w:val="2A78D6"/>
          <w:sz w:val="26"/>
        </w:rPr>
        <w:t>3.2  The AI-Native ERP Challenger Wave (2023–2026)</w:t>
      </w:r>
    </w:p>
    <w:p>
      <w:pPr>
        <w:spacing w:after="120" w:before="0"/>
        <w:jc w:val="left"/>
      </w:pPr>
      <w:r>
        <w:rPr>
          <w:rFonts w:ascii="Calibri" w:hAnsi="Calibri" w:eastAsia="Calibri"/>
          <w:b w:val="0"/>
          <w:i w:val="0"/>
          <w:color w:val="0B0B0B"/>
          <w:sz w:val="22"/>
        </w:rPr>
        <w:t>A genuinely new, fast-moving, well-capitalized category — validates the thesis, but is direct competition if we expand into English-speaking markets.</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2436"/>
        <w:gridCol w:w="2436"/>
        <w:gridCol w:w="2436"/>
        <w:gridCol w:w="2436"/>
      </w:tblGrid>
      <w:tr>
        <w:tc>
          <w:tcPr>
            <w:tcW w:type="dxa" w:w="1587"/>
            <w:shd w:val="clear" w:color="auto" w:fill="0D366B"/>
            <w:tcMar>
              <w:top w:w="60" w:type="dxa"/>
              <w:bottom w:w="60" w:type="dxa"/>
              <w:start w:w="100" w:type="dxa"/>
              <w:end w:w="100" w:type="dxa"/>
            </w:tcMar>
          </w:tcPr>
          <w:p>
            <w:r>
              <w:rPr>
                <w:rFonts w:ascii="Calibri" w:hAnsi="Calibri" w:eastAsia="Calibri"/>
                <w:b/>
                <w:i w:val="0"/>
                <w:color w:val="FFFFFF"/>
                <w:sz w:val="19"/>
              </w:rPr>
              <w:t>Company</w:t>
            </w:r>
          </w:p>
        </w:tc>
        <w:tc>
          <w:tcPr>
            <w:tcW w:type="dxa" w:w="2665"/>
            <w:shd w:val="clear" w:color="auto" w:fill="0D366B"/>
            <w:tcMar>
              <w:top w:w="60" w:type="dxa"/>
              <w:bottom w:w="60" w:type="dxa"/>
              <w:start w:w="100" w:type="dxa"/>
              <w:end w:w="100" w:type="dxa"/>
            </w:tcMar>
          </w:tcPr>
          <w:p>
            <w:r>
              <w:rPr>
                <w:rFonts w:ascii="Calibri" w:hAnsi="Calibri" w:eastAsia="Calibri"/>
                <w:b/>
                <w:i w:val="0"/>
                <w:color w:val="FFFFFF"/>
                <w:sz w:val="19"/>
              </w:rPr>
              <w:t>Latest Round</w:t>
            </w:r>
          </w:p>
        </w:tc>
        <w:tc>
          <w:tcPr>
            <w:tcW w:type="dxa" w:w="1701"/>
            <w:shd w:val="clear" w:color="auto" w:fill="0D366B"/>
            <w:tcMar>
              <w:top w:w="60" w:type="dxa"/>
              <w:bottom w:w="60" w:type="dxa"/>
              <w:start w:w="100" w:type="dxa"/>
              <w:end w:w="100" w:type="dxa"/>
            </w:tcMar>
          </w:tcPr>
          <w:p>
            <w:r>
              <w:rPr>
                <w:rFonts w:ascii="Calibri" w:hAnsi="Calibri" w:eastAsia="Calibri"/>
                <w:b/>
                <w:i w:val="0"/>
                <w:color w:val="FFFFFF"/>
                <w:sz w:val="19"/>
              </w:rPr>
              <w:t>Total Raised</w:t>
            </w:r>
          </w:p>
        </w:tc>
        <w:tc>
          <w:tcPr>
            <w:tcW w:type="dxa" w:w="3118"/>
            <w:shd w:val="clear" w:color="auto" w:fill="0D366B"/>
            <w:tcMar>
              <w:top w:w="60" w:type="dxa"/>
              <w:bottom w:w="60" w:type="dxa"/>
              <w:start w:w="100" w:type="dxa"/>
              <w:end w:w="100" w:type="dxa"/>
            </w:tcMar>
          </w:tcPr>
          <w:p>
            <w:r>
              <w:rPr>
                <w:rFonts w:ascii="Calibri" w:hAnsi="Calibri" w:eastAsia="Calibri"/>
                <w:b/>
                <w:i w:val="0"/>
                <w:color w:val="FFFFFF"/>
                <w:sz w:val="19"/>
              </w:rPr>
              <w:t>Bet</w:t>
            </w:r>
          </w:p>
        </w:tc>
      </w:tr>
      <w:tr>
        <w:tc>
          <w:tcPr>
            <w:tcW w:type="dxa" w:w="1587"/>
            <w:tcMar>
              <w:top w:w="60" w:type="dxa"/>
              <w:bottom w:w="60" w:type="dxa"/>
              <w:start w:w="100" w:type="dxa"/>
              <w:end w:w="100" w:type="dxa"/>
            </w:tcMar>
          </w:tcPr>
          <w:p>
            <w:pPr>
              <w:spacing w:after="0"/>
            </w:pPr>
            <w:r>
              <w:rPr>
                <w:rFonts w:ascii="Calibri" w:hAnsi="Calibri" w:eastAsia="Calibri"/>
                <w:b w:val="0"/>
                <w:i w:val="0"/>
                <w:color w:val="0B0B0B"/>
                <w:sz w:val="18"/>
              </w:rPr>
              <w:t>Rillet</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8"/>
              </w:rPr>
              <w:t>$70M Series B (a16z + ICONIQ, mid-2025)</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8"/>
              </w:rPr>
              <w:t>~$95M+</w:t>
            </w:r>
          </w:p>
        </w:tc>
        <w:tc>
          <w:tcPr>
            <w:tcW w:type="dxa" w:w="3118"/>
            <w:tcMar>
              <w:top w:w="60" w:type="dxa"/>
              <w:bottom w:w="60" w:type="dxa"/>
              <w:start w:w="100" w:type="dxa"/>
              <w:end w:w="100" w:type="dxa"/>
            </w:tcMar>
          </w:tcPr>
          <w:p>
            <w:pPr>
              <w:spacing w:after="0"/>
            </w:pPr>
            <w:r>
              <w:rPr>
                <w:rFonts w:ascii="Calibri" w:hAnsi="Calibri" w:eastAsia="Calibri"/>
                <w:b w:val="0"/>
                <w:i w:val="0"/>
                <w:color w:val="0B0B0B"/>
                <w:sz w:val="18"/>
              </w:rPr>
              <w:t>AI-native GL; 4-week implementations vs ~12mo legacy; continuous/daily close</w:t>
            </w:r>
          </w:p>
        </w:tc>
      </w:tr>
      <w:tr>
        <w:tc>
          <w:tcPr>
            <w:tcW w:type="dxa" w:w="1587"/>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DualEntry</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$90M Series A (Lightspeed, Khosla, GV), Oct 2025</w:t>
            </w:r>
          </w:p>
        </w:tc>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~$100M+ / $415M valuation</w:t>
            </w:r>
          </w:p>
        </w:tc>
        <w:tc>
          <w:tcPr>
            <w:tcW w:type="dxa" w:w="3118"/>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Full financial suite rip-and-replace for NetSuite/SAP/Dynamics; “$10M–$100M gap”</w:t>
            </w:r>
          </w:p>
        </w:tc>
      </w:tr>
      <w:tr>
        <w:tc>
          <w:tcPr>
            <w:tcW w:type="dxa" w:w="1587"/>
            <w:tcMar>
              <w:top w:w="60" w:type="dxa"/>
              <w:bottom w:w="60" w:type="dxa"/>
              <w:start w:w="100" w:type="dxa"/>
              <w:end w:w="100" w:type="dxa"/>
            </w:tcMar>
          </w:tcPr>
          <w:p>
            <w:pPr>
              <w:spacing w:after="0"/>
            </w:pPr>
            <w:r>
              <w:rPr>
                <w:rFonts w:ascii="Calibri" w:hAnsi="Calibri" w:eastAsia="Calibri"/>
                <w:b w:val="0"/>
                <w:i w:val="0"/>
                <w:color w:val="0B0B0B"/>
                <w:sz w:val="18"/>
              </w:rPr>
              <w:t>Campfire</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8"/>
              </w:rPr>
              <w:t>$65M Series B (Accel/Ribbit), Oct 2025</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8"/>
              </w:rPr>
              <w:t>$100M in 12 weeks combined</w:t>
            </w:r>
          </w:p>
        </w:tc>
        <w:tc>
          <w:tcPr>
            <w:tcW w:type="dxa" w:w="3118"/>
            <w:tcMar>
              <w:top w:w="60" w:type="dxa"/>
              <w:bottom w:w="60" w:type="dxa"/>
              <w:start w:w="100" w:type="dxa"/>
              <w:end w:w="100" w:type="dxa"/>
            </w:tcMar>
          </w:tcPr>
          <w:p>
            <w:pPr>
              <w:spacing w:after="0"/>
            </w:pPr>
            <w:r>
              <w:rPr>
                <w:rFonts w:ascii="Calibri" w:hAnsi="Calibri" w:eastAsia="Calibri"/>
                <w:b w:val="0"/>
                <w:i w:val="0"/>
                <w:color w:val="0B0B0B"/>
                <w:sz w:val="18"/>
              </w:rPr>
              <w:t>Proprietary “Large Accounting Model”; explicitly wins customers from NetSuite</w:t>
            </w:r>
          </w:p>
        </w:tc>
      </w:tr>
      <w:tr>
        <w:tc>
          <w:tcPr>
            <w:tcW w:type="dxa" w:w="1587"/>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Light (Copenhagen)</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$30M Series A (Balderton), Sept 2025</w:t>
            </w:r>
          </w:p>
        </w:tc>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~$43M</w:t>
            </w:r>
          </w:p>
        </w:tc>
        <w:tc>
          <w:tcPr>
            <w:tcW w:type="dxa" w:w="3118"/>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Rebuilt GL for speed (280M records &lt;1s); multi-entity/multi-country focus</w:t>
            </w:r>
          </w:p>
        </w:tc>
      </w:tr>
      <w:tr>
        <w:tc>
          <w:tcPr>
            <w:tcW w:type="dxa" w:w="1587"/>
            <w:tcMar>
              <w:top w:w="60" w:type="dxa"/>
              <w:bottom w:w="60" w:type="dxa"/>
              <w:start w:w="100" w:type="dxa"/>
              <w:end w:w="100" w:type="dxa"/>
            </w:tcMar>
          </w:tcPr>
          <w:p>
            <w:pPr>
              <w:spacing w:after="0"/>
            </w:pPr>
            <w:r>
              <w:rPr>
                <w:rFonts w:ascii="Calibri" w:hAnsi="Calibri" w:eastAsia="Calibri"/>
                <w:b w:val="0"/>
                <w:i w:val="0"/>
                <w:color w:val="0B0B0B"/>
                <w:sz w:val="18"/>
              </w:rPr>
              <w:t>Everest</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8"/>
              </w:rPr>
              <w:t>$140M seed-stage (Sutter Hill), late 2024</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8"/>
              </w:rPr>
              <w:t>$140M</w:t>
            </w:r>
          </w:p>
        </w:tc>
        <w:tc>
          <w:tcPr>
            <w:tcW w:type="dxa" w:w="3118"/>
            <w:tcMar>
              <w:top w:w="60" w:type="dxa"/>
              <w:bottom w:w="60" w:type="dxa"/>
              <w:start w:w="100" w:type="dxa"/>
              <w:end w:w="100" w:type="dxa"/>
            </w:tcMar>
          </w:tcPr>
          <w:p>
            <w:pPr>
              <w:spacing w:after="0"/>
            </w:pPr>
            <w:r>
              <w:rPr>
                <w:rFonts w:ascii="Calibri" w:hAnsi="Calibri" w:eastAsia="Calibri"/>
                <w:b w:val="0"/>
                <w:i w:val="0"/>
                <w:color w:val="0B0B0B"/>
                <w:sz w:val="18"/>
              </w:rPr>
              <w:t>Founded by ex-SAP HANA architect — a serious technical bet against SAP directly</w:t>
            </w:r>
          </w:p>
        </w:tc>
      </w:tr>
      <w:tr>
        <w:tc>
          <w:tcPr>
            <w:tcW w:type="dxa" w:w="1587"/>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Numeric</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$51M Series B (IVP), Nov 2025</w:t>
            </w:r>
          </w:p>
        </w:tc>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w:t>
            </w:r>
          </w:p>
        </w:tc>
        <w:tc>
          <w:tcPr>
            <w:tcW w:type="dxa" w:w="3118"/>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Close-automation layered on top of existing ERPs (not a replacement); ships an MCP server</w:t>
            </w:r>
          </w:p>
        </w:tc>
      </w:tr>
    </w:tbl>
    <w:p>
      <w:pPr>
        <w:spacing w:after="120" w:before="0"/>
        <w:jc w:val="left"/>
      </w:pPr>
      <w:r>
        <w:rPr>
          <w:rFonts w:ascii="Calibri" w:hAnsi="Calibri" w:eastAsia="Calibri"/>
          <w:b w:val="0"/>
          <w:i w:val="0"/>
          <w:color w:val="0D366B"/>
          <w:sz w:val="21"/>
        </w:rPr>
        <w:t>Key gap: none of these are broad operational ERP (no manufacturing, full inventory/warehouse, HR/payroll, or CRM) — all are finance/close-focused. None target Turkey or any e-Devlet-style compliance regime. Real whitespace for a broader-scope, Turkey-first entrant.</w:t>
      </w:r>
    </w:p>
    <w:p>
      <w:pPr>
        <w:keepNext/>
        <w:spacing w:before="280" w:after="120"/>
        <w:pBdr>
          <w:bottom w:val="single" w:sz="6" w:space="2" w:color="D9E4F2"/>
        </w:pBdr>
      </w:pPr>
      <w:r>
        <w:rPr>
          <w:rFonts w:ascii="Calibri" w:hAnsi="Calibri" w:eastAsia="Calibri"/>
          <w:b/>
          <w:i w:val="0"/>
          <w:color w:val="2A78D6"/>
          <w:sz w:val="26"/>
        </w:rPr>
        <w:t>3.3  Turkey Deep-Dive — Logo Yazılım</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2835"/>
            <w:shd w:val="clear" w:color="auto" w:fill="0D366B"/>
            <w:tcMar>
              <w:top w:w="60" w:type="dxa"/>
              <w:bottom w:w="60" w:type="dxa"/>
              <w:start w:w="100" w:type="dxa"/>
              <w:end w:w="100" w:type="dxa"/>
            </w:tcMar>
          </w:tcPr>
          <w:p>
            <w:r>
              <w:rPr>
                <w:rFonts w:ascii="Calibri" w:hAnsi="Calibri" w:eastAsia="Calibri"/>
                <w:b/>
                <w:i w:val="0"/>
                <w:color w:val="FFFFFF"/>
                <w:sz w:val="20"/>
              </w:rPr>
              <w:t>Metric</w:t>
            </w:r>
          </w:p>
        </w:tc>
        <w:tc>
          <w:tcPr>
            <w:tcW w:type="dxa" w:w="5669"/>
            <w:shd w:val="clear" w:color="auto" w:fill="0D366B"/>
            <w:tcMar>
              <w:top w:w="60" w:type="dxa"/>
              <w:bottom w:w="60" w:type="dxa"/>
              <w:start w:w="100" w:type="dxa"/>
              <w:end w:w="100" w:type="dxa"/>
            </w:tcMar>
          </w:tcPr>
          <w:p>
            <w:r>
              <w:rPr>
                <w:rFonts w:ascii="Calibri" w:hAnsi="Calibri" w:eastAsia="Calibri"/>
                <w:b/>
                <w:i w:val="0"/>
                <w:color w:val="FFFFFF"/>
                <w:sz w:val="20"/>
              </w:rPr>
              <w:t>Figure</w:t>
            </w:r>
          </w:p>
        </w:tc>
      </w:tr>
      <w:tr>
        <w:tc>
          <w:tcPr>
            <w:tcW w:type="dxa" w:w="2835"/>
            <w:tcMar>
              <w:top w:w="60" w:type="dxa"/>
              <w:bottom w:w="60" w:type="dxa"/>
              <w:start w:w="100" w:type="dxa"/>
              <w:end w:w="100" w:type="dxa"/>
            </w:tcMar>
          </w:tcPr>
          <w:p>
            <w:pPr>
              <w:spacing w:after="0"/>
            </w:pPr>
            <w:r>
              <w:rPr>
                <w:rFonts w:ascii="Calibri" w:hAnsi="Calibri" w:eastAsia="Calibri"/>
                <w:b w:val="0"/>
                <w:i w:val="0"/>
                <w:color w:val="0B0B0B"/>
                <w:sz w:val="20"/>
              </w:rPr>
              <w:t>FY2025 revenue</w:t>
            </w:r>
          </w:p>
        </w:tc>
        <w:tc>
          <w:tcPr>
            <w:tcW w:type="dxa" w:w="5669"/>
            <w:tcMar>
              <w:top w:w="60" w:type="dxa"/>
              <w:bottom w:w="60" w:type="dxa"/>
              <w:start w:w="100" w:type="dxa"/>
              <w:end w:w="100" w:type="dxa"/>
            </w:tcMar>
          </w:tcPr>
          <w:p>
            <w:pPr>
              <w:spacing w:after="0"/>
            </w:pPr>
            <w:r>
              <w:rPr>
                <w:rFonts w:ascii="Calibri" w:hAnsi="Calibri" w:eastAsia="Calibri"/>
                <w:b w:val="0"/>
                <w:i w:val="0"/>
                <w:color w:val="0B0B0B"/>
                <w:sz w:val="20"/>
              </w:rPr>
              <w:t>TRY 5.8B (+9% real growth)</w:t>
            </w:r>
          </w:p>
        </w:tc>
      </w:tr>
      <w:tr>
        <w:tc>
          <w:tcPr>
            <w:tcW w:type="dxa" w:w="2835"/>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FY2025 net profit</w:t>
            </w:r>
          </w:p>
        </w:tc>
        <w:tc>
          <w:tcPr>
            <w:tcW w:type="dxa" w:w="5669"/>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TRY 1.5B</w:t>
            </w:r>
          </w:p>
        </w:tc>
      </w:tr>
      <w:tr>
        <w:tc>
          <w:tcPr>
            <w:tcW w:type="dxa" w:w="2835"/>
            <w:tcMar>
              <w:top w:w="60" w:type="dxa"/>
              <w:bottom w:w="60" w:type="dxa"/>
              <w:start w:w="100" w:type="dxa"/>
              <w:end w:w="100" w:type="dxa"/>
            </w:tcMar>
          </w:tcPr>
          <w:p>
            <w:pPr>
              <w:spacing w:after="0"/>
            </w:pPr>
            <w:r>
              <w:rPr>
                <w:rFonts w:ascii="Calibri" w:hAnsi="Calibri" w:eastAsia="Calibri"/>
                <w:b w:val="0"/>
                <w:i w:val="0"/>
                <w:color w:val="0B0B0B"/>
                <w:sz w:val="20"/>
              </w:rPr>
              <w:t>Cloud-based revenue</w:t>
            </w:r>
          </w:p>
        </w:tc>
        <w:tc>
          <w:tcPr>
            <w:tcW w:type="dxa" w:w="5669"/>
            <w:tcMar>
              <w:top w:w="60" w:type="dxa"/>
              <w:bottom w:w="60" w:type="dxa"/>
              <w:start w:w="100" w:type="dxa"/>
              <w:end w:w="100" w:type="dxa"/>
            </w:tcMar>
          </w:tcPr>
          <w:p>
            <w:pPr>
              <w:spacing w:after="0"/>
            </w:pPr>
            <w:r>
              <w:rPr>
                <w:rFonts w:ascii="Calibri" w:hAnsi="Calibri" w:eastAsia="Calibri"/>
                <w:b w:val="0"/>
                <w:i w:val="0"/>
                <w:color w:val="0B0B0B"/>
                <w:sz w:val="20"/>
              </w:rPr>
              <w:t>TRY 3.19B (majority of business now)</w:t>
            </w:r>
          </w:p>
        </w:tc>
      </w:tr>
      <w:tr>
        <w:tc>
          <w:tcPr>
            <w:tcW w:type="dxa" w:w="2835"/>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New customers (2025)</w:t>
            </w:r>
          </w:p>
        </w:tc>
        <w:tc>
          <w:tcPr>
            <w:tcW w:type="dxa" w:w="5669"/>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11,200 added</w:t>
            </w:r>
          </w:p>
        </w:tc>
      </w:tr>
      <w:tr>
        <w:tc>
          <w:tcPr>
            <w:tcW w:type="dxa" w:w="2835"/>
            <w:tcMar>
              <w:top w:w="60" w:type="dxa"/>
              <w:bottom w:w="60" w:type="dxa"/>
              <w:start w:w="100" w:type="dxa"/>
              <w:end w:w="100" w:type="dxa"/>
            </w:tcMar>
          </w:tcPr>
          <w:p>
            <w:pPr>
              <w:spacing w:after="0"/>
            </w:pPr>
            <w:r>
              <w:rPr>
                <w:rFonts w:ascii="Calibri" w:hAnsi="Calibri" w:eastAsia="Calibri"/>
                <w:b w:val="0"/>
                <w:i w:val="0"/>
                <w:color w:val="0B0B0B"/>
                <w:sz w:val="20"/>
              </w:rPr>
              <w:t>Installed base</w:t>
            </w:r>
          </w:p>
        </w:tc>
        <w:tc>
          <w:tcPr>
            <w:tcW w:type="dxa" w:w="5669"/>
            <w:tcMar>
              <w:top w:w="60" w:type="dxa"/>
              <w:bottom w:w="60" w:type="dxa"/>
              <w:start w:w="100" w:type="dxa"/>
              <w:end w:w="100" w:type="dxa"/>
            </w:tcMar>
          </w:tcPr>
          <w:p>
            <w:pPr>
              <w:spacing w:after="0"/>
            </w:pPr>
            <w:r>
              <w:rPr>
                <w:rFonts w:ascii="Calibri" w:hAnsi="Calibri" w:eastAsia="Calibri"/>
                <w:b w:val="0"/>
                <w:i w:val="0"/>
                <w:color w:val="0B0B0B"/>
                <w:sz w:val="20"/>
              </w:rPr>
              <w:t>85,000+ customers cited (market leader by customer count)</w:t>
            </w:r>
          </w:p>
        </w:tc>
      </w:tr>
      <w:tr>
        <w:tc>
          <w:tcPr>
            <w:tcW w:type="dxa" w:w="2835"/>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Key acquisition</w:t>
            </w:r>
          </w:p>
        </w:tc>
        <w:tc>
          <w:tcPr>
            <w:tcW w:type="dxa" w:w="5669"/>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Netsis (former #2 vendor), acquired 2013</w:t>
            </w:r>
          </w:p>
        </w:tc>
      </w:tr>
    </w:tbl>
    <w:p>
      <w:pPr>
        <w:spacing w:after="120" w:before="0"/>
        <w:jc w:val="left"/>
      </w:pPr>
      <w:r>
        <w:rPr>
          <w:rFonts w:ascii="Calibri" w:hAnsi="Calibri" w:eastAsia="Calibri"/>
          <w:b w:val="0"/>
          <w:i w:val="0"/>
          <w:color w:val="0B0B0B"/>
          <w:sz w:val="22"/>
        </w:rPr>
        <w:t>Product lines: Logo GO (entry/micro), Logo Tiger (core mid-market ERP), Logo j-Platform (modern web-architecture ERP for mid/large + dealer networks), Logo Netsis (retained brand), Masraff (AI-assisted expense management — their clearest AI feature, but an adjacent app, not core-embedded).</w:t>
      </w:r>
    </w:p>
    <w:p>
      <w:pPr>
        <w:keepNext/>
        <w:spacing w:before="280" w:after="120"/>
        <w:pBdr>
          <w:bottom w:val="single" w:sz="6" w:space="2" w:color="D9E4F2"/>
        </w:pBdr>
      </w:pPr>
      <w:r>
        <w:rPr>
          <w:rFonts w:ascii="Calibri" w:hAnsi="Calibri" w:eastAsia="Calibri"/>
          <w:b/>
          <w:i w:val="0"/>
          <w:color w:val="EB6834"/>
          <w:sz w:val="24"/>
        </w:rPr>
        <w:t>Documented, Repeated Criticisms</w:t>
      </w:r>
    </w:p>
    <w:p>
      <w:pPr>
        <w:pStyle w:val="ListBullet"/>
        <w:spacing w:after="80"/>
        <w:ind w:left="283"/>
      </w:pPr>
      <w:r>
        <w:rPr>
          <w:rFonts w:ascii="Calibri" w:hAnsi="Calibri" w:eastAsia="Calibri"/>
          <w:b w:val="0"/>
          <w:i w:val="0"/>
          <w:color w:val="52514E"/>
          <w:sz w:val="22"/>
        </w:rPr>
        <w:t>Support/call-center unavailability during invoicing outages</w:t>
      </w:r>
    </w:p>
    <w:p>
      <w:pPr>
        <w:pStyle w:val="ListBullet"/>
        <w:spacing w:after="80"/>
        <w:ind w:left="283"/>
      </w:pPr>
      <w:r>
        <w:rPr>
          <w:rFonts w:ascii="Calibri" w:hAnsi="Calibri" w:eastAsia="Calibri"/>
          <w:b w:val="0"/>
          <w:i w:val="0"/>
          <w:color w:val="52514E"/>
          <w:sz w:val="22"/>
        </w:rPr>
        <w:t>Cloud ERP reliability bugs; ~2 years of unresolved WMS/stock-count issues for some users</w:t>
      </w:r>
    </w:p>
    <w:p>
      <w:pPr>
        <w:pStyle w:val="ListBullet"/>
        <w:spacing w:after="80"/>
        <w:ind w:left="283"/>
      </w:pPr>
      <w:r>
        <w:rPr>
          <w:rFonts w:ascii="Calibri" w:hAnsi="Calibri" w:eastAsia="Calibri"/>
          <w:b w:val="0"/>
          <w:i w:val="0"/>
          <w:color w:val="52514E"/>
          <w:sz w:val="22"/>
        </w:rPr>
        <w:t>“Every update breaks something,” notably worse after the mandatory e-İrsaliye rollout</w:t>
      </w:r>
    </w:p>
    <w:p>
      <w:pPr>
        <w:pStyle w:val="ListBullet"/>
        <w:spacing w:after="80"/>
        <w:ind w:left="283"/>
      </w:pPr>
      <w:r>
        <w:rPr>
          <w:rFonts w:ascii="Calibri" w:hAnsi="Calibri" w:eastAsia="Calibri"/>
          <w:b w:val="0"/>
          <w:i w:val="0"/>
          <w:color w:val="52514E"/>
          <w:sz w:val="22"/>
        </w:rPr>
        <w:t>High LEM (license maintenance) fees “without value in return”</w:t>
      </w:r>
    </w:p>
    <w:p>
      <w:pPr>
        <w:pStyle w:val="ListBullet"/>
        <w:spacing w:after="80"/>
        <w:ind w:left="283"/>
      </w:pPr>
      <w:r>
        <w:rPr>
          <w:rFonts w:ascii="Calibri" w:hAnsi="Calibri" w:eastAsia="Calibri"/>
          <w:b w:val="0"/>
          <w:i w:val="0"/>
          <w:color w:val="52514E"/>
          <w:sz w:val="22"/>
        </w:rPr>
        <w:t>Heavy web client (cited ~5GB footprint)</w:t>
      </w:r>
    </w:p>
    <w:p>
      <w:pPr>
        <w:spacing w:after="120" w:before="0"/>
        <w:jc w:val="left"/>
      </w:pPr>
      <w:r>
        <w:rPr>
          <w:rFonts w:ascii="Calibri" w:hAnsi="Calibri" w:eastAsia="Calibri"/>
          <w:b w:val="0"/>
          <w:i w:val="0"/>
          <w:color w:val="0B0B0B"/>
          <w:sz w:val="22"/>
        </w:rPr>
        <w:t>Why companies still choose it anyway: most complete/reliable GİB e-transformation compliance coverage reduces switching risk; large certified-reseller ecosystem (İş Ortağı); incumbent talent-pool familiarity; and removal of the #2 independent competitor via the Netsis acquisition.</w:t>
      </w:r>
    </w:p>
    <w:p>
      <w:pPr>
        <w:keepNext/>
        <w:spacing w:before="280" w:after="120"/>
        <w:pBdr>
          <w:bottom w:val="single" w:sz="6" w:space="2" w:color="D9E4F2"/>
        </w:pBdr>
      </w:pPr>
      <w:r>
        <w:rPr>
          <w:rFonts w:ascii="Calibri" w:hAnsi="Calibri" w:eastAsia="Calibri"/>
          <w:b/>
          <w:i w:val="0"/>
          <w:color w:val="2A78D6"/>
          <w:sz w:val="26"/>
        </w:rPr>
        <w:t>3.4  Other Turkish Vendors</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2436"/>
        <w:gridCol w:w="2436"/>
        <w:gridCol w:w="2436"/>
        <w:gridCol w:w="2436"/>
      </w:tblGrid>
      <w:tr>
        <w:tc>
          <w:tcPr>
            <w:tcW w:type="dxa" w:w="1701"/>
            <w:shd w:val="clear" w:color="auto" w:fill="0D366B"/>
            <w:tcMar>
              <w:top w:w="60" w:type="dxa"/>
              <w:bottom w:w="60" w:type="dxa"/>
              <w:start w:w="100" w:type="dxa"/>
              <w:end w:w="100" w:type="dxa"/>
            </w:tcMar>
          </w:tcPr>
          <w:p>
            <w:r>
              <w:rPr>
                <w:rFonts w:ascii="Calibri" w:hAnsi="Calibri" w:eastAsia="Calibri"/>
                <w:b/>
                <w:i w:val="0"/>
                <w:color w:val="FFFFFF"/>
                <w:sz w:val="20"/>
              </w:rPr>
              <w:t>Vendor</w:t>
            </w:r>
          </w:p>
        </w:tc>
        <w:tc>
          <w:tcPr>
            <w:tcW w:type="dxa" w:w="2438"/>
            <w:shd w:val="clear" w:color="auto" w:fill="0D366B"/>
            <w:tcMar>
              <w:top w:w="60" w:type="dxa"/>
              <w:bottom w:w="60" w:type="dxa"/>
              <w:start w:w="100" w:type="dxa"/>
              <w:end w:w="100" w:type="dxa"/>
            </w:tcMar>
          </w:tcPr>
          <w:p>
            <w:r>
              <w:rPr>
                <w:rFonts w:ascii="Calibri" w:hAnsi="Calibri" w:eastAsia="Calibri"/>
                <w:b/>
                <w:i w:val="0"/>
                <w:color w:val="FFFFFF"/>
                <w:sz w:val="20"/>
              </w:rPr>
              <w:t>Ownership</w:t>
            </w:r>
          </w:p>
        </w:tc>
        <w:tc>
          <w:tcPr>
            <w:tcW w:type="dxa" w:w="2665"/>
            <w:shd w:val="clear" w:color="auto" w:fill="0D366B"/>
            <w:tcMar>
              <w:top w:w="60" w:type="dxa"/>
              <w:bottom w:w="60" w:type="dxa"/>
              <w:start w:w="100" w:type="dxa"/>
              <w:end w:w="100" w:type="dxa"/>
            </w:tcMar>
          </w:tcPr>
          <w:p>
            <w:r>
              <w:rPr>
                <w:rFonts w:ascii="Calibri" w:hAnsi="Calibri" w:eastAsia="Calibri"/>
                <w:b/>
                <w:i w:val="0"/>
                <w:color w:val="FFFFFF"/>
                <w:sz w:val="20"/>
              </w:rPr>
              <w:t>Segment</w:t>
            </w:r>
          </w:p>
        </w:tc>
        <w:tc>
          <w:tcPr>
            <w:tcW w:type="dxa" w:w="2551"/>
            <w:shd w:val="clear" w:color="auto" w:fill="0D366B"/>
            <w:tcMar>
              <w:top w:w="60" w:type="dxa"/>
              <w:bottom w:w="60" w:type="dxa"/>
              <w:start w:w="100" w:type="dxa"/>
              <w:end w:w="100" w:type="dxa"/>
            </w:tcMar>
          </w:tcPr>
          <w:p>
            <w:r>
              <w:rPr>
                <w:rFonts w:ascii="Calibri" w:hAnsi="Calibri" w:eastAsia="Calibri"/>
                <w:b/>
                <w:i w:val="0"/>
                <w:color w:val="FFFFFF"/>
                <w:sz w:val="20"/>
              </w:rPr>
              <w:t>Notes</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9"/>
              </w:rPr>
              <w:t>Netsis</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Acquired by Logo (2013)</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9"/>
              </w:rPr>
              <w:t>Mid-size, manufacturing-leaning</w:t>
            </w:r>
          </w:p>
        </w:tc>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Sold as “Logo Netsis,” not independent</w:t>
            </w:r>
          </w:p>
        </w:tc>
      </w:tr>
      <w:tr>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Mikro Yazılım</w:t>
            </w:r>
          </w:p>
        </w:tc>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100% owned by Italian TeamSystem (2023)</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SMB accounting-first (Run/Jump/Fly)</w:t>
            </w:r>
          </w:p>
        </w:tc>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Strong with mali müşavir community</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9"/>
              </w:rPr>
              <w:t>Zirve Yazılım</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Same group as Mikro (MikroGrup)</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9"/>
              </w:rPr>
              <w:t>Budget SMB</w:t>
            </w:r>
          </w:p>
        </w:tc>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Grouped with “economical” tier</w:t>
            </w:r>
          </w:p>
        </w:tc>
      </w:tr>
      <w:tr>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Paraşüt</w:t>
            </w:r>
          </w:p>
        </w:tc>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Same group as Mikro</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Micro/freelancer/e-ticaret cloud accounting</w:t>
            </w:r>
          </w:p>
        </w:tc>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~TRY 110+KDV/mo entry tier</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9"/>
              </w:rPr>
              <w:t>Nebim (V3/ERA)</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Independent</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9"/>
              </w:rPr>
              <w:t>Retail/wholesale/franchise verticals</w:t>
            </w:r>
          </w:p>
        </w:tc>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Tight ERP+POS+inventory integration</w:t>
            </w:r>
          </w:p>
        </w:tc>
      </w:tr>
      <w:tr>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Uyumsoft (Liox ERP)</w:t>
            </w:r>
          </w:p>
        </w:tc>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Independent</w:t>
            </w:r>
          </w:p>
        </w:tc>
        <w:tc>
          <w:tcPr>
            <w:tcW w:type="dxa" w:w="2665"/>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Mid-market, sector-specific</w:t>
            </w:r>
          </w:p>
        </w:tc>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Most vocal on generative-AI messaging (early stage)</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9"/>
              </w:rPr>
              <w:t>Barsoft</w:t>
            </w:r>
          </w:p>
        </w:tc>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Independent, regional</w:t>
            </w:r>
          </w:p>
        </w:tc>
        <w:tc>
          <w:tcPr>
            <w:tcW w:type="dxa" w:w="2665"/>
            <w:tcMar>
              <w:top w:w="60" w:type="dxa"/>
              <w:bottom w:w="60" w:type="dxa"/>
              <w:start w:w="100" w:type="dxa"/>
              <w:end w:w="100" w:type="dxa"/>
            </w:tcMar>
          </w:tcPr>
          <w:p>
            <w:pPr>
              <w:spacing w:after="0"/>
            </w:pPr>
            <w:r>
              <w:rPr>
                <w:rFonts w:ascii="Calibri" w:hAnsi="Calibri" w:eastAsia="Calibri"/>
                <w:b w:val="0"/>
                <w:i w:val="0"/>
                <w:color w:val="0B0B0B"/>
                <w:sz w:val="19"/>
              </w:rPr>
              <w:t>Retail/restaurant/gas station niche</w:t>
            </w:r>
          </w:p>
        </w:tc>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Small, regional</w:t>
            </w:r>
          </w:p>
        </w:tc>
      </w:tr>
    </w:tbl>
    <w:p>
      <w:pPr>
        <w:keepNext/>
        <w:spacing w:before="280" w:after="120"/>
        <w:pBdr>
          <w:bottom w:val="single" w:sz="6" w:space="2" w:color="D9E4F2"/>
        </w:pBdr>
      </w:pPr>
      <w:r>
        <w:rPr>
          <w:rFonts w:ascii="Calibri" w:hAnsi="Calibri" w:eastAsia="Calibri"/>
          <w:b/>
          <w:i w:val="0"/>
          <w:color w:val="EB6834"/>
          <w:sz w:val="26"/>
        </w:rPr>
        <w:t>3.5  Turkish Compliance — the Existential Requirement</w:t>
      </w:r>
    </w:p>
    <w:p>
      <w:pPr>
        <w:spacing w:after="120" w:before="0"/>
        <w:jc w:val="left"/>
      </w:pPr>
      <w:r>
        <w:rPr>
          <w:rFonts w:ascii="Calibri" w:hAnsi="Calibri" w:eastAsia="Calibri"/>
          <w:b w:val="0"/>
          <w:i w:val="0"/>
          <w:color w:val="0B0B0B"/>
          <w:sz w:val="22"/>
        </w:rPr>
        <w:t>The single most important localization dependency and the primary reason foreign SaaS ERPs don't casually enter Turkey.</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2551"/>
            <w:shd w:val="clear" w:color="auto" w:fill="0D366B"/>
            <w:tcMar>
              <w:top w:w="60" w:type="dxa"/>
              <w:bottom w:w="60" w:type="dxa"/>
              <w:start w:w="100" w:type="dxa"/>
              <w:end w:w="100" w:type="dxa"/>
            </w:tcMar>
          </w:tcPr>
          <w:p>
            <w:r>
              <w:rPr>
                <w:rFonts w:ascii="Calibri" w:hAnsi="Calibri" w:eastAsia="Calibri"/>
                <w:b/>
                <w:i w:val="0"/>
                <w:color w:val="FFFFFF"/>
                <w:sz w:val="20"/>
              </w:rPr>
              <w:t>Requirement</w:t>
            </w:r>
          </w:p>
        </w:tc>
        <w:tc>
          <w:tcPr>
            <w:tcW w:type="dxa" w:w="5953"/>
            <w:shd w:val="clear" w:color="auto" w:fill="0D366B"/>
            <w:tcMar>
              <w:top w:w="60" w:type="dxa"/>
              <w:bottom w:w="60" w:type="dxa"/>
              <w:start w:w="100" w:type="dxa"/>
              <w:end w:w="100" w:type="dxa"/>
            </w:tcMar>
          </w:tcPr>
          <w:p>
            <w:r>
              <w:rPr>
                <w:rFonts w:ascii="Calibri" w:hAnsi="Calibri" w:eastAsia="Calibri"/>
                <w:b/>
                <w:i w:val="0"/>
                <w:color w:val="FFFFFF"/>
                <w:sz w:val="20"/>
              </w:rPr>
              <w:t>Trigger / Threshold</w:t>
            </w:r>
          </w:p>
        </w:tc>
      </w:tr>
      <w:tr>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e-Fatura (e-Invoice)</w:t>
            </w:r>
          </w:p>
        </w:tc>
        <w:tc>
          <w:tcPr>
            <w:tcW w:type="dxa" w:w="5953"/>
            <w:tcMar>
              <w:top w:w="60" w:type="dxa"/>
              <w:bottom w:w="60" w:type="dxa"/>
              <w:start w:w="100" w:type="dxa"/>
              <w:end w:w="100" w:type="dxa"/>
            </w:tcMar>
          </w:tcPr>
          <w:p>
            <w:pPr>
              <w:spacing w:after="0"/>
            </w:pPr>
            <w:r>
              <w:rPr>
                <w:rFonts w:ascii="Calibri" w:hAnsi="Calibri" w:eastAsia="Calibri"/>
                <w:b w:val="0"/>
                <w:i w:val="0"/>
                <w:color w:val="0B0B0B"/>
                <w:sz w:val="19"/>
              </w:rPr>
              <w:t>Mandatory above TRY 3M prior-year gross revenue (TRY 500K for e-commerce/real estate; no threshold for hotels)</w:t>
            </w:r>
          </w:p>
        </w:tc>
      </w:tr>
      <w:tr>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e-Arşiv Fatura</w:t>
            </w:r>
          </w:p>
        </w:tc>
        <w:tc>
          <w:tcPr>
            <w:tcW w:type="dxa" w:w="5953"/>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Backstop for B2C / non-registered counterparties above small transaction limits (~TRY 3,000/txn cited)</w:t>
            </w:r>
          </w:p>
        </w:tc>
      </w:tr>
      <w:tr>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e-Defter (e-Ledger)</w:t>
            </w:r>
          </w:p>
        </w:tc>
        <w:tc>
          <w:tcPr>
            <w:tcW w:type="dxa" w:w="5953"/>
            <w:tcMar>
              <w:top w:w="60" w:type="dxa"/>
              <w:bottom w:w="60" w:type="dxa"/>
              <w:start w:w="100" w:type="dxa"/>
              <w:end w:w="100" w:type="dxa"/>
            </w:tcMar>
          </w:tcPr>
          <w:p>
            <w:pPr>
              <w:spacing w:after="0"/>
            </w:pPr>
            <w:r>
              <w:rPr>
                <w:rFonts w:ascii="Calibri" w:hAnsi="Calibri" w:eastAsia="Calibri"/>
                <w:b w:val="0"/>
                <w:i w:val="0"/>
                <w:color w:val="0B0B0B"/>
                <w:sz w:val="19"/>
              </w:rPr>
              <w:t>Mandatory for anyone on e-Fatura keeping accrual-basis books</w:t>
            </w:r>
          </w:p>
        </w:tc>
      </w:tr>
      <w:tr>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e-İrsaliye (e-Waybill)</w:t>
            </w:r>
          </w:p>
        </w:tc>
        <w:tc>
          <w:tcPr>
            <w:tcW w:type="dxa" w:w="5953"/>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Mandatory for e-Fatura filers with 2025 revenue ≥ TRY 10M</w:t>
            </w:r>
          </w:p>
        </w:tc>
      </w:tr>
      <w:tr>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e-Müstahsil Makbuzu</w:t>
            </w:r>
          </w:p>
        </w:tc>
        <w:tc>
          <w:tcPr>
            <w:tcW w:type="dxa" w:w="5953"/>
            <w:tcMar>
              <w:top w:w="60" w:type="dxa"/>
              <w:bottom w:w="60" w:type="dxa"/>
              <w:start w:w="100" w:type="dxa"/>
              <w:end w:w="100" w:type="dxa"/>
            </w:tcMar>
          </w:tcPr>
          <w:p>
            <w:pPr>
              <w:spacing w:after="0"/>
            </w:pPr>
            <w:r>
              <w:rPr>
                <w:rFonts w:ascii="Calibri" w:hAnsi="Calibri" w:eastAsia="Calibri"/>
                <w:b w:val="0"/>
                <w:i w:val="0"/>
                <w:color w:val="0B0B0B"/>
                <w:sz w:val="19"/>
              </w:rPr>
              <w:t>Role-based (buyers from tax-exempt farmers, Hal Kayıt Sistemi); GİB can also force via risk-scoring</w:t>
            </w:r>
          </w:p>
        </w:tc>
      </w:tr>
      <w:tr>
        <w:tc>
          <w:tcPr>
            <w:tcW w:type="dxa" w:w="2551"/>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SGK / e-Bildirge</w:t>
            </w:r>
          </w:p>
        </w:tc>
        <w:tc>
          <w:tcPr>
            <w:tcW w:type="dxa" w:w="5953"/>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Mandatory monthly payroll/social-security submission for anyone with employees</w:t>
            </w:r>
          </w:p>
        </w:tc>
      </w:tr>
      <w:tr>
        <w:tc>
          <w:tcPr>
            <w:tcW w:type="dxa" w:w="2551"/>
            <w:tcMar>
              <w:top w:w="60" w:type="dxa"/>
              <w:bottom w:w="60" w:type="dxa"/>
              <w:start w:w="100" w:type="dxa"/>
              <w:end w:w="100" w:type="dxa"/>
            </w:tcMar>
          </w:tcPr>
          <w:p>
            <w:pPr>
              <w:spacing w:after="0"/>
            </w:pPr>
            <w:r>
              <w:rPr>
                <w:rFonts w:ascii="Calibri" w:hAnsi="Calibri" w:eastAsia="Calibri"/>
                <w:b w:val="0"/>
                <w:i w:val="0"/>
                <w:color w:val="0B0B0B"/>
                <w:sz w:val="19"/>
              </w:rPr>
              <w:t>KDV / e-Beyanname</w:t>
            </w:r>
          </w:p>
        </w:tc>
        <w:tc>
          <w:tcPr>
            <w:tcW w:type="dxa" w:w="5953"/>
            <w:tcMar>
              <w:top w:w="60" w:type="dxa"/>
              <w:bottom w:w="60" w:type="dxa"/>
              <w:start w:w="100" w:type="dxa"/>
              <w:end w:w="100" w:type="dxa"/>
            </w:tcMar>
          </w:tcPr>
          <w:p>
            <w:pPr>
              <w:spacing w:after="0"/>
            </w:pPr>
            <w:r>
              <w:rPr>
                <w:rFonts w:ascii="Calibri" w:hAnsi="Calibri" w:eastAsia="Calibri"/>
                <w:b w:val="0"/>
                <w:i w:val="0"/>
                <w:color w:val="0B0B0B"/>
                <w:sz w:val="19"/>
              </w:rPr>
              <w:t>VAT return filing; GİB pushing toward direct software-to-government API integration as default</w:t>
            </w:r>
          </w:p>
        </w:tc>
      </w:tr>
    </w:tbl>
    <w:p>
      <w:pPr>
        <w:spacing w:after="120" w:before="0"/>
        <w:jc w:val="left"/>
      </w:pPr>
      <w:r>
        <w:rPr>
          <w:rFonts w:ascii="Calibri" w:hAnsi="Calibri" w:eastAsia="Calibri"/>
          <w:b w:val="0"/>
          <w:i w:val="0"/>
          <w:color w:val="0B0B0B"/>
          <w:sz w:val="22"/>
        </w:rPr>
        <w:t>Engineering implication: this requires a dedicated, continuously-maintained compliance/localization team tracking GİB Tebliğ changes as an ongoing cost center — not a one-time integration project. This is the largest real moat protecting Logo today, and the largest real cost we must budget to turn it into our moat instead.</w:t>
      </w:r>
    </w:p>
    <w:p>
      <w:pPr>
        <w:keepNext/>
        <w:spacing w:before="280" w:after="120"/>
        <w:pBdr>
          <w:bottom w:val="single" w:sz="6" w:space="2" w:color="D9E4F2"/>
        </w:pBdr>
      </w:pPr>
      <w:r>
        <w:rPr>
          <w:rFonts w:ascii="Calibri" w:hAnsi="Calibri" w:eastAsia="Calibri"/>
          <w:b/>
          <w:i w:val="0"/>
          <w:color w:val="2A78D6"/>
          <w:sz w:val="26"/>
        </w:rPr>
        <w:t>3.6  Market Sizing &amp; Price Sensitivity</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4252"/>
            <w:shd w:val="clear" w:color="auto" w:fill="0D366B"/>
            <w:tcMar>
              <w:top w:w="60" w:type="dxa"/>
              <w:bottom w:w="60" w:type="dxa"/>
              <w:start w:w="100" w:type="dxa"/>
              <w:end w:w="100" w:type="dxa"/>
            </w:tcMar>
          </w:tcPr>
          <w:p>
            <w:r>
              <w:rPr>
                <w:rFonts w:ascii="Calibri" w:hAnsi="Calibri" w:eastAsia="Calibri"/>
                <w:b/>
                <w:i w:val="0"/>
                <w:color w:val="FFFFFF"/>
                <w:sz w:val="20"/>
              </w:rPr>
              <w:t>Data Point</w:t>
            </w:r>
          </w:p>
        </w:tc>
        <w:tc>
          <w:tcPr>
            <w:tcW w:type="dxa" w:w="4252"/>
            <w:shd w:val="clear" w:color="auto" w:fill="0D366B"/>
            <w:tcMar>
              <w:top w:w="60" w:type="dxa"/>
              <w:bottom w:w="60" w:type="dxa"/>
              <w:start w:w="100" w:type="dxa"/>
              <w:end w:w="100" w:type="dxa"/>
            </w:tcMar>
          </w:tcPr>
          <w:p>
            <w:r>
              <w:rPr>
                <w:rFonts w:ascii="Calibri" w:hAnsi="Calibri" w:eastAsia="Calibri"/>
                <w:b/>
                <w:i w:val="0"/>
                <w:color w:val="FFFFFF"/>
                <w:sz w:val="20"/>
              </w:rPr>
              <w:t>Figure</w:t>
            </w:r>
          </w:p>
        </w:tc>
      </w:tr>
      <w:tr>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Total SMEs in Turkey (TÜİK 2024)</w:t>
            </w:r>
          </w:p>
        </w:tc>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3,936,542 (99.6% of all enterprises)</w:t>
            </w:r>
          </w:p>
        </w:tc>
      </w:tr>
      <w:tr>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SME share of employment / turnover</w:t>
            </w:r>
          </w:p>
        </w:tc>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68.5% / 44.1%</w:t>
            </w:r>
          </w:p>
        </w:tc>
      </w:tr>
      <w:tr>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ERP penetration, 10–49 employee firms</w:t>
            </w:r>
          </w:p>
        </w:tc>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23.6% (76%+ have NO ERP today)</w:t>
            </w:r>
          </w:p>
        </w:tc>
      </w:tr>
      <w:tr>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ERP penetration, 50–249 employee firms</w:t>
            </w:r>
          </w:p>
        </w:tc>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46.0%</w:t>
            </w:r>
          </w:p>
        </w:tc>
      </w:tr>
      <w:tr>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CRM penetration</w:t>
            </w:r>
          </w:p>
        </w:tc>
        <w:tc>
          <w:tcPr>
            <w:tcW w:type="dxa" w:w="4252"/>
            <w:tcMar>
              <w:top w:w="60" w:type="dxa"/>
              <w:bottom w:w="60" w:type="dxa"/>
              <w:start w:w="100" w:type="dxa"/>
              <w:end w:w="100" w:type="dxa"/>
            </w:tcMar>
          </w:tcPr>
          <w:p>
            <w:pPr>
              <w:spacing w:after="0"/>
            </w:pPr>
            <w:r>
              <w:rPr>
                <w:rFonts w:ascii="Calibri" w:hAnsi="Calibri" w:eastAsia="Calibri"/>
                <w:b w:val="0"/>
                <w:i w:val="0"/>
                <w:color w:val="0B0B0B"/>
                <w:sz w:val="20"/>
              </w:rPr>
              <w:t>9.9% (10–49) / 18.4% (50–249)</w:t>
            </w:r>
          </w:p>
        </w:tc>
      </w:tr>
      <w:tr>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Typical software spend as % of SME revenue</w:t>
            </w:r>
          </w:p>
        </w:tc>
        <w:tc>
          <w:tcPr>
            <w:tcW w:type="dxa" w:w="4252"/>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&lt; 0.5% (PwC Strategy&amp;, 2021) — structurally price-sensitive market</w:t>
            </w:r>
          </w:p>
        </w:tc>
      </w:tr>
    </w:tbl>
    <w:p>
      <w:pPr>
        <w:spacing w:after="120" w:before="0"/>
        <w:jc w:val="left"/>
      </w:pPr>
      <w:r>
        <w:rPr>
          <w:rFonts w:ascii="Calibri" w:hAnsi="Calibri" w:eastAsia="Calibri"/>
          <w:b w:val="0"/>
          <w:i w:val="0"/>
          <w:color w:val="0B0B0B"/>
          <w:sz w:val="22"/>
        </w:rPr>
        <w:t>Countervailing signal: cloud infrastructure and AI-based services are reportedly starting to capture a larger share of spend — willingness to pay rises when the pitch shifts from “digitized paperwork” to “automation that visibly replaces headcount or catches costly errors.” This is the framing to lead with, not “cheaper than Logo.”</w:t>
      </w:r>
    </w:p>
    <w:p>
      <w:pPr>
        <w:keepNext/>
        <w:spacing w:before="280" w:after="120"/>
        <w:pBdr>
          <w:bottom w:val="single" w:sz="6" w:space="2" w:color="D9E4F2"/>
        </w:pBdr>
      </w:pPr>
      <w:r>
        <w:rPr>
          <w:rFonts w:ascii="Calibri" w:hAnsi="Calibri" w:eastAsia="Calibri"/>
          <w:b/>
          <w:i w:val="0"/>
          <w:color w:val="2A78D6"/>
          <w:sz w:val="26"/>
        </w:rPr>
        <w:t>3.7  Competitive Positioning Summary</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1949"/>
        <w:gridCol w:w="1949"/>
        <w:gridCol w:w="1949"/>
        <w:gridCol w:w="1949"/>
        <w:gridCol w:w="1949"/>
      </w:tblGrid>
      <w:tr>
        <w:tc>
          <w:tcPr>
            <w:tcW w:type="dxa" w:w="1701"/>
            <w:shd w:val="clear" w:color="auto" w:fill="0D366B"/>
            <w:tcMar>
              <w:top w:w="60" w:type="dxa"/>
              <w:bottom w:w="60" w:type="dxa"/>
              <w:start w:w="100" w:type="dxa"/>
              <w:end w:w="100" w:type="dxa"/>
            </w:tcMar>
          </w:tcPr>
          <w:p>
            <w:r>
              <w:rPr>
                <w:rFonts w:ascii="Calibri" w:hAnsi="Calibri" w:eastAsia="Calibri"/>
                <w:b/>
                <w:i w:val="0"/>
                <w:color w:val="FFFFFF"/>
                <w:sz w:val="18"/>
              </w:rPr>
              <w:t>Axis</w:t>
            </w:r>
          </w:p>
        </w:tc>
        <w:tc>
          <w:tcPr>
            <w:tcW w:type="dxa" w:w="1701"/>
            <w:shd w:val="clear" w:color="auto" w:fill="0D366B"/>
            <w:tcMar>
              <w:top w:w="60" w:type="dxa"/>
              <w:bottom w:w="60" w:type="dxa"/>
              <w:start w:w="100" w:type="dxa"/>
              <w:end w:w="100" w:type="dxa"/>
            </w:tcMar>
          </w:tcPr>
          <w:p>
            <w:r>
              <w:rPr>
                <w:rFonts w:ascii="Calibri" w:hAnsi="Calibri" w:eastAsia="Calibri"/>
                <w:b/>
                <w:i w:val="0"/>
                <w:color w:val="FFFFFF"/>
                <w:sz w:val="18"/>
              </w:rPr>
              <w:t>SAP</w:t>
            </w:r>
          </w:p>
        </w:tc>
        <w:tc>
          <w:tcPr>
            <w:tcW w:type="dxa" w:w="1928"/>
            <w:shd w:val="clear" w:color="auto" w:fill="0D366B"/>
            <w:tcMar>
              <w:top w:w="60" w:type="dxa"/>
              <w:bottom w:w="60" w:type="dxa"/>
              <w:start w:w="100" w:type="dxa"/>
              <w:end w:w="100" w:type="dxa"/>
            </w:tcMar>
          </w:tcPr>
          <w:p>
            <w:r>
              <w:rPr>
                <w:rFonts w:ascii="Calibri" w:hAnsi="Calibri" w:eastAsia="Calibri"/>
                <w:b/>
                <w:i w:val="0"/>
                <w:color w:val="FFFFFF"/>
                <w:sz w:val="18"/>
              </w:rPr>
              <w:t>Logo &amp; Turkish Incumbents</w:t>
            </w:r>
          </w:p>
        </w:tc>
        <w:tc>
          <w:tcPr>
            <w:tcW w:type="dxa" w:w="1928"/>
            <w:shd w:val="clear" w:color="auto" w:fill="0D366B"/>
            <w:tcMar>
              <w:top w:w="60" w:type="dxa"/>
              <w:bottom w:w="60" w:type="dxa"/>
              <w:start w:w="100" w:type="dxa"/>
              <w:end w:w="100" w:type="dxa"/>
            </w:tcMar>
          </w:tcPr>
          <w:p>
            <w:r>
              <w:rPr>
                <w:rFonts w:ascii="Calibri" w:hAnsi="Calibri" w:eastAsia="Calibri"/>
                <w:b/>
                <w:i w:val="0"/>
                <w:color w:val="FFFFFF"/>
                <w:sz w:val="18"/>
              </w:rPr>
              <w:t>AI-Native Challengers</w:t>
            </w:r>
          </w:p>
        </w:tc>
        <w:tc>
          <w:tcPr>
            <w:tcW w:type="dxa" w:w="1871"/>
            <w:shd w:val="clear" w:color="auto" w:fill="0D366B"/>
            <w:tcMar>
              <w:top w:w="60" w:type="dxa"/>
              <w:bottom w:w="60" w:type="dxa"/>
              <w:start w:w="100" w:type="dxa"/>
              <w:end w:w="100" w:type="dxa"/>
            </w:tcMar>
          </w:tcPr>
          <w:p>
            <w:r>
              <w:rPr>
                <w:rFonts w:ascii="Calibri" w:hAnsi="Calibri" w:eastAsia="Calibri"/>
                <w:b/>
                <w:i w:val="0"/>
                <w:color w:val="FFFFFF"/>
                <w:sz w:val="18"/>
              </w:rPr>
              <w:t>Us</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Price transparency</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Opaque, negotiated</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Opaque, reseller-quoted</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Mostly transparent SaaS</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7"/>
              </w:rPr>
              <w:t>Transparent, public tiers</w:t>
            </w:r>
          </w:p>
        </w:tc>
      </w:tr>
      <w:tr>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AI depth</w:t>
            </w:r>
          </w:p>
        </w:tc>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Retrofitted (Joule), improving fast</w:t>
            </w:r>
          </w:p>
        </w:tc>
        <w:tc>
          <w:tcPr>
            <w:tcW w:type="dxa" w:w="1928"/>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Adjacent app only (Masraff)</w:t>
            </w:r>
          </w:p>
        </w:tc>
        <w:tc>
          <w:tcPr>
            <w:tcW w:type="dxa" w:w="1928"/>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AI-native core, finance-only scope</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AI-native core, full operational scope</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Turkish compliance</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Present via partners, not core strength</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Deep, mature, but buggy</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None</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7"/>
              </w:rPr>
              <w:t>Deep, core, reliable — our built moat</w:t>
            </w:r>
          </w:p>
        </w:tc>
      </w:tr>
      <w:tr>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Implementation speed</w:t>
            </w:r>
          </w:p>
        </w:tc>
        <w:tc>
          <w:tcPr>
            <w:tcW w:type="dxa" w:w="170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Months to years</w:t>
            </w:r>
          </w:p>
        </w:tc>
        <w:tc>
          <w:tcPr>
            <w:tcW w:type="dxa" w:w="1928"/>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Weeks to months</w:t>
            </w:r>
          </w:p>
        </w:tc>
        <w:tc>
          <w:tcPr>
            <w:tcW w:type="dxa" w:w="1928"/>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Days to weeks (finance-only)</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7"/>
              </w:rPr>
              <w:t>Weeks (target), AI-accelerated</w:t>
            </w:r>
          </w:p>
        </w:tc>
      </w:tr>
      <w:tr>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Modularity</w:t>
            </w:r>
          </w:p>
        </w:tc>
        <w:tc>
          <w:tcPr>
            <w:tcW w:type="dxa" w:w="1701"/>
            <w:tcMar>
              <w:top w:w="60" w:type="dxa"/>
              <w:bottom w:w="60" w:type="dxa"/>
              <w:start w:w="100" w:type="dxa"/>
              <w:end w:w="100" w:type="dxa"/>
            </w:tcMar>
          </w:tcPr>
          <w:p>
            <w:pPr>
              <w:spacing w:after="0"/>
            </w:pPr>
            <w:r>
              <w:rPr>
                <w:rFonts w:ascii="Calibri" w:hAnsi="Calibri" w:eastAsia="Calibri"/>
                <w:b w:val="0"/>
                <w:i w:val="0"/>
                <w:color w:val="0B0B0B"/>
                <w:sz w:val="17"/>
              </w:rPr>
              <w:t>Module-based, expensive add-ons</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Package-based, opaque pricing</w:t>
            </w:r>
          </w:p>
        </w:tc>
        <w:tc>
          <w:tcPr>
            <w:tcW w:type="dxa" w:w="1928"/>
            <w:tcMar>
              <w:top w:w="60" w:type="dxa"/>
              <w:bottom w:w="60" w:type="dxa"/>
              <w:start w:w="100" w:type="dxa"/>
              <w:end w:w="100" w:type="dxa"/>
            </w:tcMar>
          </w:tcPr>
          <w:p>
            <w:pPr>
              <w:spacing w:after="0"/>
            </w:pPr>
            <w:r>
              <w:rPr>
                <w:rFonts w:ascii="Calibri" w:hAnsi="Calibri" w:eastAsia="Calibri"/>
                <w:b w:val="0"/>
                <w:i w:val="0"/>
                <w:color w:val="0B0B0B"/>
                <w:sz w:val="17"/>
              </w:rPr>
              <w:t>Mostly single-product (GL/close)</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7"/>
              </w:rPr>
              <w:t>Core + independently-priced packages</w:t>
            </w:r>
          </w:p>
        </w:tc>
      </w:tr>
    </w:tbl>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4   SHOULD AI BE A PACKAGE OR EMBEDDED BY DEFAULT?</w:t>
            </w:r>
          </w:p>
        </w:tc>
      </w:tr>
    </w:tbl>
    <w:p>
      <w:pPr>
        <w:spacing w:after="40"/>
      </w:pPr>
    </w:p>
    <w:p>
      <w:pPr>
        <w:spacing w:after="160" w:before="0"/>
        <w:jc w:val="left"/>
      </w:pPr>
      <w:r>
        <w:rPr>
          <w:rFonts w:ascii="Calibri" w:hAnsi="Calibri" w:eastAsia="Calibri"/>
          <w:b/>
          <w:i w:val="0"/>
          <w:color w:val="0D366B"/>
          <w:sz w:val="24"/>
        </w:rPr>
        <w:t xml:space="preserve">Decision: </w:t>
      </w:r>
      <w:r>
        <w:rPr>
          <w:rFonts w:ascii="Calibri" w:hAnsi="Calibri" w:eastAsia="Calibri"/>
          <w:b/>
          <w:i w:val="0"/>
          <w:color w:val="0B0B0B"/>
          <w:sz w:val="24"/>
        </w:rPr>
        <w:t>Base AI is embedded by default in every tier — not sold as an add-on.</w:t>
      </w:r>
    </w:p>
    <w:p>
      <w:pPr>
        <w:spacing w:after="120" w:before="0"/>
        <w:jc w:val="left"/>
      </w:pPr>
      <w:r>
        <w:rPr>
          <w:rFonts w:ascii="Calibri" w:hAnsi="Calibri" w:eastAsia="Calibri"/>
          <w:b w:val="0"/>
          <w:i w:val="0"/>
          <w:color w:val="0B0B0B"/>
          <w:sz w:val="23"/>
        </w:rPr>
        <w:t>This is the core product thesis. If AI is optional, we're just another ERP with a chatbot upsell — exactly the “bolted on” positioning we're attacking. Every incumbent studied (SAP, Microsoft, Oracle) reached the same conclusion: base copilot ships free/included, and only the deep end is metered.</w:t>
      </w:r>
    </w:p>
    <w:p>
      <w:pPr>
        <w:keepNext/>
        <w:spacing w:before="280" w:after="120"/>
        <w:pBdr>
          <w:bottom w:val="single" w:sz="6" w:space="2" w:color="D9E4F2"/>
        </w:pBdr>
      </w:pPr>
      <w:r>
        <w:rPr>
          <w:rFonts w:ascii="Calibri" w:hAnsi="Calibri" w:eastAsia="Calibri"/>
          <w:b/>
          <w:i w:val="0"/>
          <w:color w:val="2A78D6"/>
          <w:sz w:val="26"/>
        </w:rPr>
        <w:t>What's Included vs. Metered</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5386"/>
            <w:shd w:val="clear" w:color="auto" w:fill="0D366B"/>
            <w:tcMar>
              <w:top w:w="60" w:type="dxa"/>
              <w:bottom w:w="60" w:type="dxa"/>
              <w:start w:w="100" w:type="dxa"/>
              <w:end w:w="100" w:type="dxa"/>
            </w:tcMar>
          </w:tcPr>
          <w:p>
            <w:r>
              <w:rPr>
                <w:rFonts w:ascii="Calibri" w:hAnsi="Calibri" w:eastAsia="Calibri"/>
                <w:b/>
                <w:i w:val="0"/>
                <w:color w:val="FFFFFF"/>
                <w:sz w:val="20"/>
              </w:rPr>
              <w:t>Tier of AI Capability</w:t>
            </w:r>
          </w:p>
        </w:tc>
        <w:tc>
          <w:tcPr>
            <w:tcW w:type="dxa" w:w="3118"/>
            <w:shd w:val="clear" w:color="auto" w:fill="0D366B"/>
            <w:tcMar>
              <w:top w:w="60" w:type="dxa"/>
              <w:bottom w:w="60" w:type="dxa"/>
              <w:start w:w="100" w:type="dxa"/>
              <w:end w:w="100" w:type="dxa"/>
            </w:tcMar>
          </w:tcPr>
          <w:p>
            <w:r>
              <w:rPr>
                <w:rFonts w:ascii="Calibri" w:hAnsi="Calibri" w:eastAsia="Calibri"/>
                <w:b/>
                <w:i w:val="0"/>
                <w:color w:val="FFFFFF"/>
                <w:sz w:val="20"/>
              </w:rPr>
              <w:t>Availability</w:t>
            </w:r>
          </w:p>
        </w:tc>
      </w:tr>
      <w:tr>
        <w:tc>
          <w:tcPr>
            <w:tcW w:type="dxa" w:w="5386"/>
            <w:tcMar>
              <w:top w:w="60" w:type="dxa"/>
              <w:bottom w:w="60" w:type="dxa"/>
              <w:start w:w="100" w:type="dxa"/>
              <w:end w:w="100" w:type="dxa"/>
            </w:tcMar>
          </w:tcPr>
          <w:p>
            <w:pPr>
              <w:spacing w:after="0"/>
            </w:pPr>
            <w:r>
              <w:rPr>
                <w:rFonts w:ascii="Calibri" w:hAnsi="Calibri" w:eastAsia="Calibri"/>
                <w:b w:val="0"/>
                <w:i w:val="0"/>
                <w:color w:val="0B0B0B"/>
                <w:sz w:val="20"/>
              </w:rPr>
              <w:t>Conversational Q&amp;A, explanations, guided reports, basic anomaly flags</w:t>
            </w:r>
          </w:p>
        </w:tc>
        <w:tc>
          <w:tcPr>
            <w:tcW w:type="dxa" w:w="3118"/>
            <w:tcMar>
              <w:top w:w="60" w:type="dxa"/>
              <w:bottom w:w="60" w:type="dxa"/>
              <w:start w:w="100" w:type="dxa"/>
              <w:end w:w="100" w:type="dxa"/>
            </w:tcMar>
          </w:tcPr>
          <w:p>
            <w:pPr>
              <w:spacing w:after="0"/>
            </w:pPr>
            <w:r>
              <w:rPr>
                <w:rFonts w:ascii="Calibri" w:hAnsi="Calibri" w:eastAsia="Calibri"/>
                <w:b w:val="0"/>
                <w:i w:val="0"/>
                <w:color w:val="0B0B0B"/>
                <w:sz w:val="20"/>
              </w:rPr>
              <w:t>Included in every tier, always on</w:t>
            </w:r>
          </w:p>
        </w:tc>
      </w:tr>
      <w:tr>
        <w:tc>
          <w:tcPr>
            <w:tcW w:type="dxa" w:w="5386"/>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Agentic multi-step automation (auto-draft POs, reconciliation sweeps, forecasting agents), high-volume usage, custom workflow building</w:t>
            </w:r>
          </w:p>
        </w:tc>
        <w:tc>
          <w:tcPr>
            <w:tcW w:type="dxa" w:w="3118"/>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Metered / higher-tier gated (“AI Action credits”)</w:t>
            </w:r>
          </w:p>
        </w:tc>
      </w:tr>
      <w:tr>
        <w:tc>
          <w:tcPr>
            <w:tcW w:type="dxa" w:w="5386"/>
            <w:tcMar>
              <w:top w:w="60" w:type="dxa"/>
              <w:bottom w:w="60" w:type="dxa"/>
              <w:start w:w="100" w:type="dxa"/>
              <w:end w:w="100" w:type="dxa"/>
            </w:tcMar>
          </w:tcPr>
          <w:p>
            <w:pPr>
              <w:spacing w:after="0"/>
            </w:pPr>
            <w:r>
              <w:rPr>
                <w:rFonts w:ascii="Calibri" w:hAnsi="Calibri" w:eastAsia="Calibri"/>
                <w:b w:val="0"/>
                <w:i w:val="0"/>
                <w:color w:val="0B0B0B"/>
                <w:sz w:val="20"/>
              </w:rPr>
              <w:t>Custom agent development tooling, per-customer fine-tuned semantic layer, on-prem/VPC model isolation</w:t>
            </w:r>
          </w:p>
        </w:tc>
        <w:tc>
          <w:tcPr>
            <w:tcW w:type="dxa" w:w="3118"/>
            <w:tcMar>
              <w:top w:w="60" w:type="dxa"/>
              <w:bottom w:w="60" w:type="dxa"/>
              <w:start w:w="100" w:type="dxa"/>
              <w:end w:w="100" w:type="dxa"/>
            </w:tcMar>
          </w:tcPr>
          <w:p>
            <w:pPr>
              <w:spacing w:after="0"/>
            </w:pPr>
            <w:r>
              <w:rPr>
                <w:rFonts w:ascii="Calibri" w:hAnsi="Calibri" w:eastAsia="Calibri"/>
                <w:b w:val="0"/>
                <w:i w:val="0"/>
                <w:color w:val="0B0B0B"/>
                <w:sz w:val="20"/>
              </w:rPr>
              <w:t>Enterprise-only</w:t>
            </w:r>
          </w:p>
        </w:tc>
      </w:tr>
    </w:tbl>
    <w:p>
      <w:pPr>
        <w:spacing w:after="120" w:before="0"/>
        <w:jc w:val="left"/>
      </w:pPr>
      <w:r>
        <w:rPr>
          <w:rFonts w:ascii="Calibri" w:hAnsi="Calibri" w:eastAsia="Calibri"/>
          <w:b w:val="0"/>
          <w:i w:val="0"/>
          <w:color w:val="0B0B0B"/>
          <w:sz w:val="22"/>
        </w:rPr>
        <w:t>This gives us: (1) a defensible “AI-native, not AI-added” marketing claim, (2) a pricing lever that scales with value delivered rather than penalizing light users, and (3) protection against the cost blow-out both SAP and Microsoft hit before introducing usage metering.</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5   AI ARCHITECTURE PRINCIPLES</w:t>
            </w:r>
          </w:p>
        </w:tc>
      </w:tr>
    </w:tbl>
    <w:p>
      <w:pPr>
        <w:spacing w:after="40"/>
      </w:pPr>
    </w:p>
    <w:p>
      <w:pPr>
        <w:spacing w:after="120" w:before="0"/>
        <w:jc w:val="left"/>
      </w:pPr>
      <w:r>
        <w:rPr>
          <w:rFonts w:ascii="Calibri" w:hAnsi="Calibri" w:eastAsia="Calibri"/>
          <w:b w:val="0"/>
          <w:i w:val="0"/>
          <w:color w:val="0B0B0B"/>
          <w:sz w:val="22"/>
        </w:rPr>
        <w:t>Converged from patterns across SAP Knowledge Graph, Microsoft Dataverse Semantic Index, and the open-source semantic-layer ecosystem (dbt MetricFlow, Cube.dev, Wren AI). These are the decisions that shape product scope, not implementation detail — full engineering design belongs in a separate doc.</w:t>
      </w:r>
    </w:p>
    <w:p>
      <w:pPr>
        <w:pStyle w:val="ListBullet"/>
        <w:spacing w:after="80"/>
        <w:ind w:left="283"/>
      </w:pPr>
      <w:r>
        <w:rPr>
          <w:rFonts w:ascii="Calibri" w:hAnsi="Calibri" w:eastAsia="Calibri"/>
          <w:b/>
          <w:i w:val="0"/>
          <w:color w:val="0D366B"/>
          <w:sz w:val="22"/>
        </w:rPr>
        <w:t xml:space="preserve">1. A governed semantic/metrics layer sits between the LLM and the database.  </w:t>
      </w:r>
      <w:r>
        <w:rPr>
          <w:rFonts w:ascii="Calibri" w:hAnsi="Calibri" w:eastAsia="Calibri"/>
          <w:b w:val="0"/>
          <w:i w:val="0"/>
          <w:color w:val="0B0B0B"/>
          <w:sz w:val="22"/>
        </w:rPr>
        <w:t>The LLM never free-composes SQL over raw tables. Enterprise-realistic benchmarks show raw text-to-SQL accuracy collapsing from ~91% (academic) to ~21% (enterprise schema) — 81% of errors are schema/semantic misunderstanding, not syntax. A semantic layer lifts this back to 95–100% in cited benchmarks. “Gross margin” must always be computed by the same deterministic, versioned definition — never re-derived ad hoc by the LLM.</w:t>
      </w:r>
    </w:p>
    <w:p>
      <w:pPr>
        <w:pStyle w:val="ListBullet"/>
        <w:spacing w:after="80"/>
        <w:ind w:left="283"/>
      </w:pPr>
      <w:r>
        <w:rPr>
          <w:rFonts w:ascii="Calibri" w:hAnsi="Calibri" w:eastAsia="Calibri"/>
          <w:b/>
          <w:i w:val="0"/>
          <w:color w:val="0D366B"/>
          <w:sz w:val="22"/>
        </w:rPr>
        <w:t xml:space="preserve">2. Read (Q&amp;A) and write (actions) are separate trust domains.  </w:t>
      </w:r>
      <w:r>
        <w:rPr>
          <w:rFonts w:ascii="Calibri" w:hAnsi="Calibri" w:eastAsia="Calibri"/>
          <w:b w:val="0"/>
          <w:i w:val="0"/>
          <w:color w:val="0B0B0B"/>
          <w:sz w:val="22"/>
        </w:rPr>
        <w:t>Questions route through the deterministic semantic layer with the LLM only narrating results. Actions (create PO, post journal entry, approve invoice) are explicit, schema-typed tools with embedded business-rule validation — the MCP (Model Context Protocol) pattern, mirrored in NetSuite's 2026 “Custom Tool Script Type.”</w:t>
      </w:r>
    </w:p>
    <w:p>
      <w:pPr>
        <w:pStyle w:val="ListBullet"/>
        <w:spacing w:after="80"/>
        <w:ind w:left="283"/>
      </w:pPr>
      <w:r>
        <w:rPr>
          <w:rFonts w:ascii="Calibri" w:hAnsi="Calibri" w:eastAsia="Calibri"/>
          <w:b/>
          <w:i w:val="0"/>
          <w:color w:val="0D366B"/>
          <w:sz w:val="22"/>
        </w:rPr>
        <w:t xml:space="preserve">3. Permission enforcement happens at the data-access layer, never post-retrieval.  </w:t>
      </w:r>
      <w:r>
        <w:rPr>
          <w:rFonts w:ascii="Calibri" w:hAnsi="Calibri" w:eastAsia="Calibri"/>
          <w:b w:val="0"/>
          <w:i w:val="0"/>
          <w:color w:val="0B0B0B"/>
          <w:sz w:val="22"/>
        </w:rPr>
        <w:t>The AI must reuse the app's existing row/field-level security. This is the highest-severity, most-cited failure mode in the market: Microsoft 365 Copilot's disclosed EchoLeak (CVE-2025-32711) and SearchLeak (CVE-2026-42824) both trace back to permission architecture gaps the AI made newly exploitable — not the model itself.</w:t>
      </w:r>
    </w:p>
    <w:p>
      <w:pPr>
        <w:pStyle w:val="ListBullet"/>
        <w:spacing w:after="80"/>
        <w:ind w:left="283"/>
      </w:pPr>
      <w:r>
        <w:rPr>
          <w:rFonts w:ascii="Calibri" w:hAnsi="Calibri" w:eastAsia="Calibri"/>
          <w:b/>
          <w:i w:val="0"/>
          <w:color w:val="0D366B"/>
          <w:sz w:val="22"/>
        </w:rPr>
        <w:t xml:space="preserve">4. Human-in-the-loop confirmation for mutating actions above a configurable threshold.  </w:t>
      </w:r>
      <w:r>
        <w:rPr>
          <w:rFonts w:ascii="Calibri" w:hAnsi="Calibri" w:eastAsia="Calibri"/>
          <w:b w:val="0"/>
          <w:i w:val="0"/>
          <w:color w:val="0B0B0B"/>
          <w:sz w:val="22"/>
        </w:rPr>
        <w:t>Mirrors SAP's procurement Joule agent (auto-approve below threshold, flag above) and Oracle's Payables Agent (auto-processes, human review on edge cases). Implemented as a durable “pending_approval” checkpoint, not an ephemeral in-memory flag.</w:t>
      </w:r>
    </w:p>
    <w:p>
      <w:pPr>
        <w:pStyle w:val="ListBullet"/>
        <w:spacing w:after="80"/>
        <w:ind w:left="283"/>
      </w:pPr>
      <w:r>
        <w:rPr>
          <w:rFonts w:ascii="Calibri" w:hAnsi="Calibri" w:eastAsia="Calibri"/>
          <w:b/>
          <w:i w:val="0"/>
          <w:color w:val="0D366B"/>
          <w:sz w:val="22"/>
        </w:rPr>
        <w:t xml:space="preserve">5. Full AI audit trail by default.  </w:t>
      </w:r>
      <w:r>
        <w:rPr>
          <w:rFonts w:ascii="Calibri" w:hAnsi="Calibri" w:eastAsia="Calibri"/>
          <w:b w:val="0"/>
          <w:i w:val="0"/>
          <w:color w:val="0B0B0B"/>
          <w:sz w:val="22"/>
        </w:rPr>
        <w:t>Prompt, retrieved context, tool calls, and human approvals/rejections logged as an append-only, tenant-scoped record — both for trust/debugging and because EU AI Act high-risk obligations reach full enforcement Aug 2, 2026 (fines up to €15M / 3% global turnover) for AI touching employment/lending/critical decisions.</w:t>
      </w:r>
    </w:p>
    <w:p>
      <w:pPr>
        <w:pStyle w:val="ListBullet"/>
        <w:spacing w:after="80"/>
        <w:ind w:left="283"/>
      </w:pPr>
      <w:r>
        <w:rPr>
          <w:rFonts w:ascii="Calibri" w:hAnsi="Calibri" w:eastAsia="Calibri"/>
          <w:b/>
          <w:i w:val="0"/>
          <w:color w:val="0D366B"/>
          <w:sz w:val="22"/>
        </w:rPr>
        <w:t xml:space="preserve">6. Golden-query library with a feedback loop.  </w:t>
      </w:r>
      <w:r>
        <w:rPr>
          <w:rFonts w:ascii="Calibri" w:hAnsi="Calibri" w:eastAsia="Calibri"/>
          <w:b w:val="0"/>
          <w:i w:val="0"/>
          <w:color w:val="0B0B0B"/>
          <w:sz w:val="22"/>
        </w:rPr>
        <w:t>Verified NL↔query pairs retrieved as few-shot grounding; user corrections to AI-generated queries/actions feed back into the library — a cheap, high-leverage accuracy mechanism every serious vendor uses.</w:t>
      </w:r>
    </w:p>
    <w:p>
      <w:pPr>
        <w:pStyle w:val="ListBullet"/>
        <w:spacing w:after="80"/>
        <w:ind w:left="283"/>
      </w:pPr>
      <w:r>
        <w:rPr>
          <w:rFonts w:ascii="Calibri" w:hAnsi="Calibri" w:eastAsia="Calibri"/>
          <w:b/>
          <w:i w:val="0"/>
          <w:color w:val="0D366B"/>
          <w:sz w:val="22"/>
        </w:rPr>
        <w:t xml:space="preserve">7. Latency mitigation as a first-class concern.  </w:t>
      </w:r>
      <w:r>
        <w:rPr>
          <w:rFonts w:ascii="Calibri" w:hAnsi="Calibri" w:eastAsia="Calibri"/>
          <w:b w:val="0"/>
          <w:i w:val="0"/>
          <w:color w:val="0B0B0B"/>
          <w:sz w:val="22"/>
        </w:rPr>
        <w:t>Semantic/result caching, pre-aggregation for expensive rollups, and parallel scatter-gather execution for multi-part analytical questions, rather than naive sequential computation over raw transactional tables.</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6   PRODUCT STRUCTURE: CORE + PACKAGES</w:t>
            </w:r>
          </w:p>
        </w:tc>
      </w:tr>
    </w:tbl>
    <w:p>
      <w:pPr>
        <w:spacing w:after="40"/>
      </w:pPr>
    </w:p>
    <w:p>
      <w:pPr>
        <w:keepNext/>
        <w:spacing w:before="280" w:after="120"/>
        <w:pBdr>
          <w:bottom w:val="single" w:sz="6" w:space="2" w:color="D9E4F2"/>
        </w:pBdr>
      </w:pPr>
      <w:r>
        <w:rPr>
          <w:rFonts w:ascii="Calibri" w:hAnsi="Calibri" w:eastAsia="Calibri"/>
          <w:b/>
          <w:i w:val="0"/>
          <w:color w:val="2A78D6"/>
          <w:sz w:val="26"/>
        </w:rPr>
        <w:t>6.1  Core Platform (mandatory foundation, not sold separately)</w:t>
      </w:r>
    </w:p>
    <w:p>
      <w:pPr>
        <w:pStyle w:val="ListBullet"/>
        <w:spacing w:after="80"/>
        <w:ind w:left="283"/>
      </w:pPr>
      <w:r>
        <w:rPr>
          <w:rFonts w:ascii="Calibri" w:hAnsi="Calibri" w:eastAsia="Calibri"/>
          <w:b w:val="0"/>
          <w:i w:val="0"/>
          <w:color w:val="0B0B0B"/>
          <w:sz w:val="22"/>
        </w:rPr>
        <w:t>General Ledger &amp; Chart of Accounts — multi-currency, multi-entity ready from day one</w:t>
      </w:r>
    </w:p>
    <w:p>
      <w:pPr>
        <w:pStyle w:val="ListBullet"/>
        <w:spacing w:after="80"/>
        <w:ind w:left="283"/>
      </w:pPr>
      <w:r>
        <w:rPr>
          <w:rFonts w:ascii="Calibri" w:hAnsi="Calibri" w:eastAsia="Calibri"/>
          <w:b w:val="0"/>
          <w:i w:val="0"/>
          <w:color w:val="0B0B0B"/>
          <w:sz w:val="22"/>
        </w:rPr>
        <w:t>Basic AR/AP — invoicing, payments, aging</w:t>
      </w:r>
    </w:p>
    <w:p>
      <w:pPr>
        <w:pStyle w:val="ListBullet"/>
        <w:spacing w:after="80"/>
        <w:ind w:left="283"/>
      </w:pPr>
      <w:r>
        <w:rPr>
          <w:rFonts w:ascii="Calibri" w:hAnsi="Calibri" w:eastAsia="Calibri"/>
          <w:b w:val="0"/>
          <w:i w:val="0"/>
          <w:color w:val="0B0B0B"/>
          <w:sz w:val="22"/>
        </w:rPr>
        <w:t>User, Role, and Permission model — the security substrate the AI layer depends on</w:t>
      </w:r>
    </w:p>
    <w:p>
      <w:pPr>
        <w:pStyle w:val="ListBullet"/>
        <w:spacing w:after="80"/>
        <w:ind w:left="283"/>
      </w:pPr>
      <w:r>
        <w:rPr>
          <w:rFonts w:ascii="Calibri" w:hAnsi="Calibri" w:eastAsia="Calibri"/>
          <w:b w:val="0"/>
          <w:i w:val="0"/>
          <w:color w:val="0B0B0B"/>
          <w:sz w:val="22"/>
        </w:rPr>
        <w:t>AI Chat Layer — the right-panel assistant, embedded everywhere, always included</w:t>
      </w:r>
    </w:p>
    <w:p>
      <w:pPr>
        <w:pStyle w:val="ListBullet"/>
        <w:spacing w:after="80"/>
        <w:ind w:left="283"/>
      </w:pPr>
      <w:r>
        <w:rPr>
          <w:rFonts w:ascii="Calibri" w:hAnsi="Calibri" w:eastAsia="Calibri"/>
          <w:b w:val="0"/>
          <w:i w:val="0"/>
          <w:color w:val="0B0B0B"/>
          <w:sz w:val="22"/>
        </w:rPr>
        <w:t>Localization/Compliance Engine — pluggable per-country; Turkey Localization Pack first</w:t>
      </w:r>
    </w:p>
    <w:p>
      <w:pPr>
        <w:pStyle w:val="ListBullet"/>
        <w:spacing w:after="80"/>
        <w:ind w:left="283"/>
      </w:pPr>
      <w:r>
        <w:rPr>
          <w:rFonts w:ascii="Calibri" w:hAnsi="Calibri" w:eastAsia="Calibri"/>
          <w:b w:val="0"/>
          <w:i w:val="0"/>
          <w:color w:val="0B0B0B"/>
          <w:sz w:val="22"/>
        </w:rPr>
        <w:t>Audit &amp; Logging Infrastructure — application audit log + AI action audit trail</w:t>
      </w:r>
    </w:p>
    <w:p>
      <w:pPr>
        <w:pStyle w:val="ListBullet"/>
        <w:spacing w:after="80"/>
        <w:ind w:left="283"/>
      </w:pPr>
      <w:r>
        <w:rPr>
          <w:rFonts w:ascii="Calibri" w:hAnsi="Calibri" w:eastAsia="Calibri"/>
          <w:b w:val="0"/>
          <w:i w:val="0"/>
          <w:color w:val="0B0B0B"/>
          <w:sz w:val="22"/>
        </w:rPr>
        <w:t>Base Reporting/BI — standard financial statements, dashboards</w:t>
      </w:r>
    </w:p>
    <w:p>
      <w:pPr>
        <w:keepNext/>
        <w:spacing w:before="280" w:after="120"/>
        <w:pBdr>
          <w:bottom w:val="single" w:sz="6" w:space="2" w:color="D9E4F2"/>
        </w:pBdr>
      </w:pPr>
      <w:r>
        <w:rPr>
          <w:rFonts w:ascii="Calibri" w:hAnsi="Calibri" w:eastAsia="Calibri"/>
          <w:b/>
          <w:i w:val="0"/>
          <w:color w:val="2A78D6"/>
          <w:sz w:val="26"/>
        </w:rPr>
        <w:t>6.2  Independently-Priced Packages</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3249"/>
        <w:gridCol w:w="3249"/>
        <w:gridCol w:w="3249"/>
      </w:tblGrid>
      <w:tr>
        <w:tc>
          <w:tcPr>
            <w:tcW w:type="dxa" w:w="2438"/>
            <w:shd w:val="clear" w:color="auto" w:fill="0D366B"/>
            <w:tcMar>
              <w:top w:w="60" w:type="dxa"/>
              <w:bottom w:w="60" w:type="dxa"/>
              <w:start w:w="100" w:type="dxa"/>
              <w:end w:w="100" w:type="dxa"/>
            </w:tcMar>
          </w:tcPr>
          <w:p>
            <w:r>
              <w:rPr>
                <w:rFonts w:ascii="Calibri" w:hAnsi="Calibri" w:eastAsia="Calibri"/>
                <w:b/>
                <w:i w:val="0"/>
                <w:color w:val="FFFFFF"/>
                <w:sz w:val="20"/>
              </w:rPr>
              <w:t>Package</w:t>
            </w:r>
          </w:p>
        </w:tc>
        <w:tc>
          <w:tcPr>
            <w:tcW w:type="dxa" w:w="3798"/>
            <w:shd w:val="clear" w:color="auto" w:fill="0D366B"/>
            <w:tcMar>
              <w:top w:w="60" w:type="dxa"/>
              <w:bottom w:w="60" w:type="dxa"/>
              <w:start w:w="100" w:type="dxa"/>
              <w:end w:w="100" w:type="dxa"/>
            </w:tcMar>
          </w:tcPr>
          <w:p>
            <w:r>
              <w:rPr>
                <w:rFonts w:ascii="Calibri" w:hAnsi="Calibri" w:eastAsia="Calibri"/>
                <w:b/>
                <w:i w:val="0"/>
                <w:color w:val="FFFFFF"/>
                <w:sz w:val="20"/>
              </w:rPr>
              <w:t>Core Functionality</w:t>
            </w:r>
          </w:p>
        </w:tc>
        <w:tc>
          <w:tcPr>
            <w:tcW w:type="dxa" w:w="2268"/>
            <w:shd w:val="clear" w:color="auto" w:fill="0D366B"/>
            <w:tcMar>
              <w:top w:w="60" w:type="dxa"/>
              <w:bottom w:w="60" w:type="dxa"/>
              <w:start w:w="100" w:type="dxa"/>
              <w:end w:w="100" w:type="dxa"/>
            </w:tcMar>
          </w:tcPr>
          <w:p>
            <w:r>
              <w:rPr>
                <w:rFonts w:ascii="Calibri" w:hAnsi="Calibri" w:eastAsia="Calibri"/>
                <w:b/>
                <w:i w:val="0"/>
                <w:color w:val="FFFFFF"/>
                <w:sz w:val="20"/>
              </w:rPr>
              <w:t>Comparable</w:t>
            </w:r>
          </w:p>
        </w:tc>
      </w:tr>
      <w:tr>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Purchasing / Procurement</w:t>
            </w:r>
          </w:p>
        </w:tc>
        <w:tc>
          <w:tcPr>
            <w:tcW w:type="dxa" w:w="3798"/>
            <w:tcMar>
              <w:top w:w="60" w:type="dxa"/>
              <w:bottom w:w="60" w:type="dxa"/>
              <w:start w:w="100" w:type="dxa"/>
              <w:end w:w="100" w:type="dxa"/>
            </w:tcMar>
          </w:tcPr>
          <w:p>
            <w:pPr>
              <w:spacing w:after="0"/>
            </w:pPr>
            <w:r>
              <w:rPr>
                <w:rFonts w:ascii="Calibri" w:hAnsi="Calibri" w:eastAsia="Calibri"/>
                <w:b w:val="0"/>
                <w:i w:val="0"/>
                <w:color w:val="0B0B0B"/>
                <w:sz w:val="19"/>
              </w:rPr>
              <w:t>Purchase orders, vendor management, approval workflows</w:t>
            </w:r>
          </w:p>
        </w:tc>
        <w:tc>
          <w:tcPr>
            <w:tcW w:type="dxa" w:w="2268"/>
            <w:tcMar>
              <w:top w:w="60" w:type="dxa"/>
              <w:bottom w:w="60" w:type="dxa"/>
              <w:start w:w="100" w:type="dxa"/>
              <w:end w:w="100" w:type="dxa"/>
            </w:tcMar>
          </w:tcPr>
          <w:p>
            <w:pPr>
              <w:spacing w:after="0"/>
            </w:pPr>
            <w:r>
              <w:rPr>
                <w:rFonts w:ascii="Calibri" w:hAnsi="Calibri" w:eastAsia="Calibri"/>
                <w:b w:val="0"/>
                <w:i w:val="0"/>
                <w:color w:val="0B0B0B"/>
                <w:sz w:val="19"/>
              </w:rPr>
              <w:t>SAP Ariba, NetSuite Procurement, Logo Tiger</w:t>
            </w:r>
          </w:p>
        </w:tc>
      </w:tr>
      <w:tr>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Inventory &amp; Warehouse Mgmt</w:t>
            </w:r>
          </w:p>
        </w:tc>
        <w:tc>
          <w:tcPr>
            <w:tcW w:type="dxa" w:w="379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Stock, multi-warehouse, barcode/WMS</w:t>
            </w:r>
          </w:p>
        </w:tc>
        <w:tc>
          <w:tcPr>
            <w:tcW w:type="dxa" w:w="226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NetSuite WMS, Logo Netsis stock</w:t>
            </w:r>
          </w:p>
        </w:tc>
      </w:tr>
      <w:tr>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Manufacturing / Production (MRP)</w:t>
            </w:r>
          </w:p>
        </w:tc>
        <w:tc>
          <w:tcPr>
            <w:tcW w:type="dxa" w:w="3798"/>
            <w:tcMar>
              <w:top w:w="60" w:type="dxa"/>
              <w:bottom w:w="60" w:type="dxa"/>
              <w:start w:w="100" w:type="dxa"/>
              <w:end w:w="100" w:type="dxa"/>
            </w:tcMar>
          </w:tcPr>
          <w:p>
            <w:pPr>
              <w:spacing w:after="0"/>
            </w:pPr>
            <w:r>
              <w:rPr>
                <w:rFonts w:ascii="Calibri" w:hAnsi="Calibri" w:eastAsia="Calibri"/>
                <w:b w:val="0"/>
                <w:i w:val="0"/>
                <w:color w:val="0B0B0B"/>
                <w:sz w:val="19"/>
              </w:rPr>
              <w:t>BOM, work orders, capacity planning</w:t>
            </w:r>
          </w:p>
        </w:tc>
        <w:tc>
          <w:tcPr>
            <w:tcW w:type="dxa" w:w="2268"/>
            <w:tcMar>
              <w:top w:w="60" w:type="dxa"/>
              <w:bottom w:w="60" w:type="dxa"/>
              <w:start w:w="100" w:type="dxa"/>
              <w:end w:w="100" w:type="dxa"/>
            </w:tcMar>
          </w:tcPr>
          <w:p>
            <w:pPr>
              <w:spacing w:after="0"/>
            </w:pPr>
            <w:r>
              <w:rPr>
                <w:rFonts w:ascii="Calibri" w:hAnsi="Calibri" w:eastAsia="Calibri"/>
                <w:b w:val="0"/>
                <w:i w:val="0"/>
                <w:color w:val="0B0B0B"/>
                <w:sz w:val="19"/>
              </w:rPr>
              <w:t>SAP PP, NetSuite Advanced Manufacturing</w:t>
            </w:r>
          </w:p>
        </w:tc>
      </w:tr>
      <w:tr>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Sales &amp; CRM</w:t>
            </w:r>
          </w:p>
        </w:tc>
        <w:tc>
          <w:tcPr>
            <w:tcW w:type="dxa" w:w="379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Pipeline, quotes, order management</w:t>
            </w:r>
          </w:p>
        </w:tc>
        <w:tc>
          <w:tcPr>
            <w:tcW w:type="dxa" w:w="226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NetSuite CRM, Logo CRM</w:t>
            </w:r>
          </w:p>
        </w:tc>
      </w:tr>
      <w:tr>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HR &amp; Payroll (Turkey-aware)</w:t>
            </w:r>
          </w:p>
        </w:tc>
        <w:tc>
          <w:tcPr>
            <w:tcW w:type="dxa" w:w="3798"/>
            <w:tcMar>
              <w:top w:w="60" w:type="dxa"/>
              <w:bottom w:w="60" w:type="dxa"/>
              <w:start w:w="100" w:type="dxa"/>
              <w:end w:w="100" w:type="dxa"/>
            </w:tcMar>
          </w:tcPr>
          <w:p>
            <w:pPr>
              <w:spacing w:after="0"/>
            </w:pPr>
            <w:r>
              <w:rPr>
                <w:rFonts w:ascii="Calibri" w:hAnsi="Calibri" w:eastAsia="Calibri"/>
                <w:b w:val="0"/>
                <w:i w:val="0"/>
                <w:color w:val="0B0B0B"/>
                <w:sz w:val="19"/>
              </w:rPr>
              <w:t>Employee records, payroll, SGK/e-Bildirge integration</w:t>
            </w:r>
          </w:p>
        </w:tc>
        <w:tc>
          <w:tcPr>
            <w:tcW w:type="dxa" w:w="2268"/>
            <w:tcMar>
              <w:top w:w="60" w:type="dxa"/>
              <w:bottom w:w="60" w:type="dxa"/>
              <w:start w:w="100" w:type="dxa"/>
              <w:end w:w="100" w:type="dxa"/>
            </w:tcMar>
          </w:tcPr>
          <w:p>
            <w:pPr>
              <w:spacing w:after="0"/>
            </w:pPr>
            <w:r>
              <w:rPr>
                <w:rFonts w:ascii="Calibri" w:hAnsi="Calibri" w:eastAsia="Calibri"/>
                <w:b w:val="0"/>
                <w:i w:val="0"/>
                <w:color w:val="0B0B0B"/>
                <w:sz w:val="19"/>
              </w:rPr>
              <w:t>Logo İK, İK360, BordroPlus</w:t>
            </w:r>
          </w:p>
        </w:tc>
      </w:tr>
      <w:tr>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Project Management</w:t>
            </w:r>
          </w:p>
        </w:tc>
        <w:tc>
          <w:tcPr>
            <w:tcW w:type="dxa" w:w="379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Time tracking, project costing, PSA</w:t>
            </w:r>
          </w:p>
        </w:tc>
        <w:tc>
          <w:tcPr>
            <w:tcW w:type="dxa" w:w="226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NetSuite PSA</w:t>
            </w:r>
          </w:p>
        </w:tc>
      </w:tr>
      <w:tr>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POS / Retail</w:t>
            </w:r>
          </w:p>
        </w:tc>
        <w:tc>
          <w:tcPr>
            <w:tcW w:type="dxa" w:w="3798"/>
            <w:tcMar>
              <w:top w:w="60" w:type="dxa"/>
              <w:bottom w:w="60" w:type="dxa"/>
              <w:start w:w="100" w:type="dxa"/>
              <w:end w:w="100" w:type="dxa"/>
            </w:tcMar>
          </w:tcPr>
          <w:p>
            <w:pPr>
              <w:spacing w:after="0"/>
            </w:pPr>
            <w:r>
              <w:rPr>
                <w:rFonts w:ascii="Calibri" w:hAnsi="Calibri" w:eastAsia="Calibri"/>
                <w:b w:val="0"/>
                <w:i w:val="0"/>
                <w:color w:val="0B0B0B"/>
                <w:sz w:val="19"/>
              </w:rPr>
              <w:t>Point of sale, multi-store</w:t>
            </w:r>
          </w:p>
        </w:tc>
        <w:tc>
          <w:tcPr>
            <w:tcW w:type="dxa" w:w="2268"/>
            <w:tcMar>
              <w:top w:w="60" w:type="dxa"/>
              <w:bottom w:w="60" w:type="dxa"/>
              <w:start w:w="100" w:type="dxa"/>
              <w:end w:w="100" w:type="dxa"/>
            </w:tcMar>
          </w:tcPr>
          <w:p>
            <w:pPr>
              <w:spacing w:after="0"/>
            </w:pPr>
            <w:r>
              <w:rPr>
                <w:rFonts w:ascii="Calibri" w:hAnsi="Calibri" w:eastAsia="Calibri"/>
                <w:b w:val="0"/>
                <w:i w:val="0"/>
                <w:color w:val="0B0B0B"/>
                <w:sz w:val="19"/>
              </w:rPr>
              <w:t>Nebim V3/ERA</w:t>
            </w:r>
          </w:p>
        </w:tc>
      </w:tr>
      <w:tr>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E-commerce Integration</w:t>
            </w:r>
          </w:p>
        </w:tc>
        <w:tc>
          <w:tcPr>
            <w:tcW w:type="dxa" w:w="379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Marketplace/storefront sync</w:t>
            </w:r>
          </w:p>
        </w:tc>
        <w:tc>
          <w:tcPr>
            <w:tcW w:type="dxa" w:w="226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Odoo e-commerce, Paraşüt e-ticaret</w:t>
            </w:r>
          </w:p>
        </w:tc>
      </w:tr>
      <w:tr>
        <w:tc>
          <w:tcPr>
            <w:tcW w:type="dxa" w:w="2438"/>
            <w:tcMar>
              <w:top w:w="60" w:type="dxa"/>
              <w:bottom w:w="60" w:type="dxa"/>
              <w:start w:w="100" w:type="dxa"/>
              <w:end w:w="100" w:type="dxa"/>
            </w:tcMar>
          </w:tcPr>
          <w:p>
            <w:pPr>
              <w:spacing w:after="0"/>
            </w:pPr>
            <w:r>
              <w:rPr>
                <w:rFonts w:ascii="Calibri" w:hAnsi="Calibri" w:eastAsia="Calibri"/>
                <w:b w:val="0"/>
                <w:i w:val="0"/>
                <w:color w:val="0B0B0B"/>
                <w:sz w:val="19"/>
              </w:rPr>
              <w:t>Advanced BI / Analytics</w:t>
            </w:r>
          </w:p>
        </w:tc>
        <w:tc>
          <w:tcPr>
            <w:tcW w:type="dxa" w:w="3798"/>
            <w:tcMar>
              <w:top w:w="60" w:type="dxa"/>
              <w:bottom w:w="60" w:type="dxa"/>
              <w:start w:w="100" w:type="dxa"/>
              <w:end w:w="100" w:type="dxa"/>
            </w:tcMar>
          </w:tcPr>
          <w:p>
            <w:pPr>
              <w:spacing w:after="0"/>
            </w:pPr>
            <w:r>
              <w:rPr>
                <w:rFonts w:ascii="Calibri" w:hAnsi="Calibri" w:eastAsia="Calibri"/>
                <w:b w:val="0"/>
                <w:i w:val="0"/>
                <w:color w:val="0B0B0B"/>
                <w:sz w:val="19"/>
              </w:rPr>
              <w:t>Custom dashboards, forecasting</w:t>
            </w:r>
          </w:p>
        </w:tc>
        <w:tc>
          <w:tcPr>
            <w:tcW w:type="dxa" w:w="2268"/>
            <w:tcMar>
              <w:top w:w="60" w:type="dxa"/>
              <w:bottom w:w="60" w:type="dxa"/>
              <w:start w:w="100" w:type="dxa"/>
              <w:end w:w="100" w:type="dxa"/>
            </w:tcMar>
          </w:tcPr>
          <w:p>
            <w:pPr>
              <w:spacing w:after="0"/>
            </w:pPr>
            <w:r>
              <w:rPr>
                <w:rFonts w:ascii="Calibri" w:hAnsi="Calibri" w:eastAsia="Calibri"/>
                <w:b w:val="0"/>
                <w:i w:val="0"/>
                <w:color w:val="0B0B0B"/>
                <w:sz w:val="19"/>
              </w:rPr>
              <w:t>SAP Analytics Cloud, NetSuite Analytics</w:t>
            </w:r>
          </w:p>
        </w:tc>
      </w:tr>
      <w:tr>
        <w:tc>
          <w:tcPr>
            <w:tcW w:type="dxa" w:w="243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Advanced AI Agents Pack</w:t>
            </w:r>
          </w:p>
        </w:tc>
        <w:tc>
          <w:tcPr>
            <w:tcW w:type="dxa" w:w="379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Agentic automation, autonomous forecasting/reconciliation agents, custom agent builder</w:t>
            </w:r>
          </w:p>
        </w:tc>
        <w:tc>
          <w:tcPr>
            <w:tcW w:type="dxa" w:w="2268"/>
            <w:tcMar>
              <w:top w:w="60" w:type="dxa"/>
              <w:bottom w:w="60" w:type="dxa"/>
              <w:start w:w="100" w:type="dxa"/>
              <w:end w:w="100" w:type="dxa"/>
            </w:tcMar>
            <w:shd w:val="clear" w:color="auto" w:fill="F7F7F5"/>
          </w:tcPr>
          <w:p>
            <w:pPr>
              <w:spacing w:after="0"/>
            </w:pPr>
            <w:r>
              <w:rPr>
                <w:rFonts w:ascii="Calibri" w:hAnsi="Calibri" w:eastAsia="Calibri"/>
                <w:b w:val="0"/>
                <w:i w:val="0"/>
                <w:color w:val="0B0B0B"/>
                <w:sz w:val="19"/>
              </w:rPr>
              <w:t>SAP Joule Studio, Oracle Fusion Agent Studio</w:t>
            </w:r>
          </w:p>
        </w:tc>
      </w:tr>
    </w:tbl>
    <w:p>
      <w:pPr>
        <w:keepNext/>
        <w:spacing w:before="280" w:after="120"/>
        <w:pBdr>
          <w:bottom w:val="single" w:sz="6" w:space="2" w:color="D9E4F2"/>
        </w:pBdr>
      </w:pPr>
      <w:r>
        <w:rPr>
          <w:rFonts w:ascii="Calibri" w:hAnsi="Calibri" w:eastAsia="Calibri"/>
          <w:b/>
          <w:i w:val="0"/>
          <w:color w:val="2A78D6"/>
          <w:sz w:val="26"/>
        </w:rPr>
        <w:t>6.3  Localization Packs</w:t>
      </w:r>
    </w:p>
    <w:p>
      <w:pPr>
        <w:spacing w:after="120" w:before="0"/>
        <w:jc w:val="left"/>
      </w:pPr>
      <w:r>
        <w:rPr>
          <w:rFonts w:ascii="Calibri" w:hAnsi="Calibri" w:eastAsia="Calibri"/>
          <w:b w:val="0"/>
          <w:i w:val="0"/>
          <w:color w:val="0B0B0B"/>
          <w:sz w:val="22"/>
        </w:rPr>
        <w:t>Turkey Localization Pack (launch priority): e-Fatura, e-Arşiv, e-Defter, e-İrsaliye, e-Müstahsil Makbuzu, SGK/e-Bildirge, KDV/e-Beyanname integration, GİB API maintenance as an ongoing service commitment, not a one-time build. Future packs (Phase 3+): other markets, evaluated once Turkey + initial English-market traction is proven.</w:t>
      </w:r>
    </w:p>
    <w:p>
      <w:pPr>
        <w:spacing w:after="120" w:before="0"/>
        <w:jc w:val="left"/>
      </w:pPr>
      <w:r>
        <w:rPr>
          <w:rFonts w:ascii="Calibri" w:hAnsi="Calibri" w:eastAsia="Calibri"/>
          <w:b/>
          <w:i w:val="0"/>
          <w:color w:val="EB6834"/>
          <w:sz w:val="22"/>
        </w:rPr>
        <w:t xml:space="preserve">Open decision — </w:t>
      </w:r>
      <w:r>
        <w:rPr>
          <w:rFonts w:ascii="Calibri" w:hAnsi="Calibri" w:eastAsia="Calibri"/>
          <w:b w:val="0"/>
          <w:i w:val="0"/>
          <w:color w:val="0B0B0B"/>
          <w:sz w:val="22"/>
        </w:rPr>
        <w:t>rip-and-replace full ERP vs. AI-copilot-layered-on-incumbent-Logo/Netsis installs. Given our full operational scope ambition, the natural answer is rip-and-replace, differentiated from Rillet/DualEntry by breadth (manufacturing, inventory, HR, retail) and from Logo/SAP by AI-native architecture + transparent pricing. A “copilot on top of Logo” product is a smaller, faster-to-market alternative worth scoping as a possible Phase 0 wedge.</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7   PRICING &amp; PACKAGING STRATEGY</w:t>
            </w:r>
          </w:p>
        </w:tc>
      </w:tr>
    </w:tbl>
    <w:p>
      <w:pPr>
        <w:spacing w:after="40"/>
      </w:pPr>
    </w:p>
    <w:p>
      <w:pPr>
        <w:spacing w:after="120" w:before="0"/>
        <w:jc w:val="left"/>
      </w:pPr>
      <w:r>
        <w:rPr>
          <w:rFonts w:ascii="Calibri" w:hAnsi="Calibri" w:eastAsia="Calibri"/>
          <w:b w:val="0"/>
          <w:i w:val="0"/>
          <w:color w:val="0B0B0B"/>
          <w:sz w:val="22"/>
        </w:rPr>
        <w:t>Public, transparent tiers — a direct contrast to Logo's reseller-quoted model and SAP's opaque enterprise negotiation. Every tier includes Core + embedded base AI; packages are added à la carte, similar to how NetSuite prices modules — but with Odoo's flat, non-punitive per-user philosophy applied within each package rather than NetSuite's steep $499–5,000/month per-module fees.</w:t>
      </w:r>
    </w:p>
    <w:p>
      <w:pPr>
        <w:keepNext/>
        <w:spacing w:before="280" w:after="120"/>
        <w:pBdr>
          <w:bottom w:val="single" w:sz="6" w:space="2" w:color="D9E4F2"/>
        </w:pBdr>
      </w:pPr>
      <w:r>
        <w:rPr>
          <w:rFonts w:ascii="Calibri" w:hAnsi="Calibri" w:eastAsia="Calibri"/>
          <w:b/>
          <w:i w:val="0"/>
          <w:color w:val="2A78D6"/>
          <w:sz w:val="26"/>
        </w:rPr>
        <w:t>7.1  Illustrative Tiers</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1949"/>
        <w:gridCol w:w="1949"/>
        <w:gridCol w:w="1949"/>
        <w:gridCol w:w="1949"/>
        <w:gridCol w:w="1949"/>
      </w:tblGrid>
      <w:tr>
        <w:tc>
          <w:tcPr>
            <w:tcW w:type="dxa" w:w="1304"/>
            <w:shd w:val="clear" w:color="auto" w:fill="0D366B"/>
            <w:tcMar>
              <w:top w:w="60" w:type="dxa"/>
              <w:bottom w:w="60" w:type="dxa"/>
              <w:start w:w="100" w:type="dxa"/>
              <w:end w:w="100" w:type="dxa"/>
            </w:tcMar>
          </w:tcPr>
          <w:p>
            <w:r>
              <w:rPr>
                <w:rFonts w:ascii="Calibri" w:hAnsi="Calibri" w:eastAsia="Calibri"/>
                <w:b/>
                <w:i w:val="0"/>
                <w:color w:val="FFFFFF"/>
                <w:sz w:val="20"/>
              </w:rPr>
              <w:t>Tier</w:t>
            </w:r>
          </w:p>
        </w:tc>
        <w:tc>
          <w:tcPr>
            <w:tcW w:type="dxa" w:w="2041"/>
            <w:shd w:val="clear" w:color="auto" w:fill="0D366B"/>
            <w:tcMar>
              <w:top w:w="60" w:type="dxa"/>
              <w:bottom w:w="60" w:type="dxa"/>
              <w:start w:w="100" w:type="dxa"/>
              <w:end w:w="100" w:type="dxa"/>
            </w:tcMar>
          </w:tcPr>
          <w:p>
            <w:r>
              <w:rPr>
                <w:rFonts w:ascii="Calibri" w:hAnsi="Calibri" w:eastAsia="Calibri"/>
                <w:b/>
                <w:i w:val="0"/>
                <w:color w:val="FFFFFF"/>
                <w:sz w:val="20"/>
              </w:rPr>
              <w:t>Target</w:t>
            </w:r>
          </w:p>
        </w:tc>
        <w:tc>
          <w:tcPr>
            <w:tcW w:type="dxa" w:w="1871"/>
            <w:shd w:val="clear" w:color="auto" w:fill="0D366B"/>
            <w:tcMar>
              <w:top w:w="60" w:type="dxa"/>
              <w:bottom w:w="60" w:type="dxa"/>
              <w:start w:w="100" w:type="dxa"/>
              <w:end w:w="100" w:type="dxa"/>
            </w:tcMar>
          </w:tcPr>
          <w:p>
            <w:r>
              <w:rPr>
                <w:rFonts w:ascii="Calibri" w:hAnsi="Calibri" w:eastAsia="Calibri"/>
                <w:b/>
                <w:i w:val="0"/>
                <w:color w:val="FFFFFF"/>
                <w:sz w:val="20"/>
              </w:rPr>
              <w:t>Core Price</w:t>
            </w:r>
          </w:p>
        </w:tc>
        <w:tc>
          <w:tcPr>
            <w:tcW w:type="dxa" w:w="2041"/>
            <w:shd w:val="clear" w:color="auto" w:fill="0D366B"/>
            <w:tcMar>
              <w:top w:w="60" w:type="dxa"/>
              <w:bottom w:w="60" w:type="dxa"/>
              <w:start w:w="100" w:type="dxa"/>
              <w:end w:w="100" w:type="dxa"/>
            </w:tcMar>
          </w:tcPr>
          <w:p>
            <w:r>
              <w:rPr>
                <w:rFonts w:ascii="Calibri" w:hAnsi="Calibri" w:eastAsia="Calibri"/>
                <w:b/>
                <w:i w:val="0"/>
                <w:color w:val="FFFFFF"/>
                <w:sz w:val="20"/>
              </w:rPr>
              <w:t>Included Packages</w:t>
            </w:r>
          </w:p>
        </w:tc>
        <w:tc>
          <w:tcPr>
            <w:tcW w:type="dxa" w:w="2381"/>
            <w:shd w:val="clear" w:color="auto" w:fill="0D366B"/>
            <w:tcMar>
              <w:top w:w="60" w:type="dxa"/>
              <w:bottom w:w="60" w:type="dxa"/>
              <w:start w:w="100" w:type="dxa"/>
              <w:end w:w="100" w:type="dxa"/>
            </w:tcMar>
          </w:tcPr>
          <w:p>
            <w:r>
              <w:rPr>
                <w:rFonts w:ascii="Calibri" w:hAnsi="Calibri" w:eastAsia="Calibri"/>
                <w:b/>
                <w:i w:val="0"/>
                <w:color w:val="FFFFFF"/>
                <w:sz w:val="20"/>
              </w:rPr>
              <w:t>AI</w:t>
            </w:r>
          </w:p>
        </w:tc>
      </w:tr>
      <w:tr>
        <w:tc>
          <w:tcPr>
            <w:tcW w:type="dxa" w:w="1304"/>
            <w:tcMar>
              <w:top w:w="60" w:type="dxa"/>
              <w:bottom w:w="60" w:type="dxa"/>
              <w:start w:w="100" w:type="dxa"/>
              <w:end w:w="100" w:type="dxa"/>
            </w:tcMar>
          </w:tcPr>
          <w:p>
            <w:pPr>
              <w:spacing w:after="0"/>
            </w:pPr>
            <w:r>
              <w:rPr>
                <w:rFonts w:ascii="Calibri" w:hAnsi="Calibri" w:eastAsia="Calibri"/>
                <w:b w:val="0"/>
                <w:i w:val="0"/>
                <w:color w:val="0B0B0B"/>
                <w:sz w:val="18"/>
              </w:rPr>
              <w:t>Starter</w:t>
            </w:r>
          </w:p>
        </w:tc>
        <w:tc>
          <w:tcPr>
            <w:tcW w:type="dxa" w:w="2041"/>
            <w:tcMar>
              <w:top w:w="60" w:type="dxa"/>
              <w:bottom w:w="60" w:type="dxa"/>
              <w:start w:w="100" w:type="dxa"/>
              <w:end w:w="100" w:type="dxa"/>
            </w:tcMar>
          </w:tcPr>
          <w:p>
            <w:pPr>
              <w:spacing w:after="0"/>
            </w:pPr>
            <w:r>
              <w:rPr>
                <w:rFonts w:ascii="Calibri" w:hAnsi="Calibri" w:eastAsia="Calibri"/>
                <w:b w:val="0"/>
                <w:i w:val="0"/>
                <w:color w:val="0B0B0B"/>
                <w:sz w:val="18"/>
              </w:rPr>
              <w:t>1–15 employees, first ERP ever</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8"/>
              </w:rPr>
              <w:t>~$15–25/user/mo</w:t>
            </w:r>
            <w:r>
              <w:br/>
            </w:r>
            <w:r>
              <w:rPr>
                <w:rFonts w:ascii="Calibri" w:hAnsi="Calibri" w:eastAsia="Calibri"/>
                <w:b w:val="0"/>
                <w:i w:val="0"/>
                <w:color w:val="0B0B0B"/>
                <w:sz w:val="18"/>
              </w:rPr>
              <w:t>(~TRY 500–800/user/mo)</w:t>
            </w:r>
          </w:p>
        </w:tc>
        <w:tc>
          <w:tcPr>
            <w:tcW w:type="dxa" w:w="2041"/>
            <w:tcMar>
              <w:top w:w="60" w:type="dxa"/>
              <w:bottom w:w="60" w:type="dxa"/>
              <w:start w:w="100" w:type="dxa"/>
              <w:end w:w="100" w:type="dxa"/>
            </w:tcMar>
          </w:tcPr>
          <w:p>
            <w:pPr>
              <w:spacing w:after="0"/>
            </w:pPr>
            <w:r>
              <w:rPr>
                <w:rFonts w:ascii="Calibri" w:hAnsi="Calibri" w:eastAsia="Calibri"/>
                <w:b w:val="0"/>
                <w:i w:val="0"/>
                <w:color w:val="0B0B0B"/>
                <w:sz w:val="18"/>
              </w:rPr>
              <w:t>Core + 1 package of choice</w:t>
            </w:r>
          </w:p>
        </w:tc>
        <w:tc>
          <w:tcPr>
            <w:tcW w:type="dxa" w:w="2381"/>
            <w:tcMar>
              <w:top w:w="60" w:type="dxa"/>
              <w:bottom w:w="60" w:type="dxa"/>
              <w:start w:w="100" w:type="dxa"/>
              <w:end w:w="100" w:type="dxa"/>
            </w:tcMar>
          </w:tcPr>
          <w:p>
            <w:pPr>
              <w:spacing w:after="0"/>
            </w:pPr>
            <w:r>
              <w:rPr>
                <w:rFonts w:ascii="Calibri" w:hAnsi="Calibri" w:eastAsia="Calibri"/>
                <w:b w:val="0"/>
                <w:i w:val="0"/>
                <w:color w:val="0B0B0B"/>
                <w:sz w:val="18"/>
              </w:rPr>
              <w:t>Base AI chat included; no agentic actions</w:t>
            </w:r>
          </w:p>
        </w:tc>
      </w:tr>
      <w:tr>
        <w:tc>
          <w:tcPr>
            <w:tcW w:type="dxa" w:w="130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Growth</w:t>
            </w:r>
          </w:p>
        </w:tc>
        <w:tc>
          <w:tcPr>
            <w:tcW w:type="dxa" w:w="204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15–75 employees</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~$35–50/user/mo</w:t>
            </w:r>
          </w:p>
        </w:tc>
        <w:tc>
          <w:tcPr>
            <w:tcW w:type="dxa" w:w="204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Core + up to 4 packages</w:t>
            </w:r>
          </w:p>
        </w:tc>
        <w:tc>
          <w:tcPr>
            <w:tcW w:type="dxa" w:w="238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Base AI + limited monthly AI Action credits</w:t>
            </w:r>
          </w:p>
        </w:tc>
      </w:tr>
      <w:tr>
        <w:tc>
          <w:tcPr>
            <w:tcW w:type="dxa" w:w="1304"/>
            <w:tcMar>
              <w:top w:w="60" w:type="dxa"/>
              <w:bottom w:w="60" w:type="dxa"/>
              <w:start w:w="100" w:type="dxa"/>
              <w:end w:w="100" w:type="dxa"/>
            </w:tcMar>
          </w:tcPr>
          <w:p>
            <w:pPr>
              <w:spacing w:after="0"/>
            </w:pPr>
            <w:r>
              <w:rPr>
                <w:rFonts w:ascii="Calibri" w:hAnsi="Calibri" w:eastAsia="Calibri"/>
                <w:b w:val="0"/>
                <w:i w:val="0"/>
                <w:color w:val="0B0B0B"/>
                <w:sz w:val="18"/>
              </w:rPr>
              <w:t>Professional</w:t>
            </w:r>
          </w:p>
        </w:tc>
        <w:tc>
          <w:tcPr>
            <w:tcW w:type="dxa" w:w="2041"/>
            <w:tcMar>
              <w:top w:w="60" w:type="dxa"/>
              <w:bottom w:w="60" w:type="dxa"/>
              <w:start w:w="100" w:type="dxa"/>
              <w:end w:w="100" w:type="dxa"/>
            </w:tcMar>
          </w:tcPr>
          <w:p>
            <w:pPr>
              <w:spacing w:after="0"/>
            </w:pPr>
            <w:r>
              <w:rPr>
                <w:rFonts w:ascii="Calibri" w:hAnsi="Calibri" w:eastAsia="Calibri"/>
                <w:b w:val="0"/>
                <w:i w:val="0"/>
                <w:color w:val="0B0B0B"/>
                <w:sz w:val="18"/>
              </w:rPr>
              <w:t>75–250 employees</w:t>
            </w:r>
          </w:p>
        </w:tc>
        <w:tc>
          <w:tcPr>
            <w:tcW w:type="dxa" w:w="1871"/>
            <w:tcMar>
              <w:top w:w="60" w:type="dxa"/>
              <w:bottom w:w="60" w:type="dxa"/>
              <w:start w:w="100" w:type="dxa"/>
              <w:end w:w="100" w:type="dxa"/>
            </w:tcMar>
          </w:tcPr>
          <w:p>
            <w:pPr>
              <w:spacing w:after="0"/>
            </w:pPr>
            <w:r>
              <w:rPr>
                <w:rFonts w:ascii="Calibri" w:hAnsi="Calibri" w:eastAsia="Calibri"/>
                <w:b w:val="0"/>
                <w:i w:val="0"/>
                <w:color w:val="0B0B0B"/>
                <w:sz w:val="18"/>
              </w:rPr>
              <w:t>~$60–90/user/mo</w:t>
            </w:r>
          </w:p>
        </w:tc>
        <w:tc>
          <w:tcPr>
            <w:tcW w:type="dxa" w:w="2041"/>
            <w:tcMar>
              <w:top w:w="60" w:type="dxa"/>
              <w:bottom w:w="60" w:type="dxa"/>
              <w:start w:w="100" w:type="dxa"/>
              <w:end w:w="100" w:type="dxa"/>
            </w:tcMar>
          </w:tcPr>
          <w:p>
            <w:pPr>
              <w:spacing w:after="0"/>
            </w:pPr>
            <w:r>
              <w:rPr>
                <w:rFonts w:ascii="Calibri" w:hAnsi="Calibri" w:eastAsia="Calibri"/>
                <w:b w:val="0"/>
                <w:i w:val="0"/>
                <w:color w:val="0B0B0B"/>
                <w:sz w:val="18"/>
              </w:rPr>
              <w:t>Core + unlimited packages</w:t>
            </w:r>
          </w:p>
        </w:tc>
        <w:tc>
          <w:tcPr>
            <w:tcW w:type="dxa" w:w="2381"/>
            <w:tcMar>
              <w:top w:w="60" w:type="dxa"/>
              <w:bottom w:w="60" w:type="dxa"/>
              <w:start w:w="100" w:type="dxa"/>
              <w:end w:w="100" w:type="dxa"/>
            </w:tcMar>
          </w:tcPr>
          <w:p>
            <w:pPr>
              <w:spacing w:after="0"/>
            </w:pPr>
            <w:r>
              <w:rPr>
                <w:rFonts w:ascii="Calibri" w:hAnsi="Calibri" w:eastAsia="Calibri"/>
                <w:b w:val="0"/>
                <w:i w:val="0"/>
                <w:color w:val="0B0B0B"/>
                <w:sz w:val="18"/>
              </w:rPr>
              <w:t>Base AI + generous AI Action credits + advanced BI</w:t>
            </w:r>
          </w:p>
        </w:tc>
      </w:tr>
      <w:tr>
        <w:tc>
          <w:tcPr>
            <w:tcW w:type="dxa" w:w="130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Enterprise</w:t>
            </w:r>
          </w:p>
        </w:tc>
        <w:tc>
          <w:tcPr>
            <w:tcW w:type="dxa" w:w="204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250+ employees, multi-entity</w:t>
            </w:r>
          </w:p>
        </w:tc>
        <w:tc>
          <w:tcPr>
            <w:tcW w:type="dxa" w:w="187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Custom quote</w:t>
            </w:r>
          </w:p>
        </w:tc>
        <w:tc>
          <w:tcPr>
            <w:tcW w:type="dxa" w:w="204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Everything + custom packages</w:t>
            </w:r>
          </w:p>
        </w:tc>
        <w:tc>
          <w:tcPr>
            <w:tcW w:type="dxa" w:w="238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Full agentic automation, custom agent builder, on-prem/VPC option</w:t>
            </w:r>
          </w:p>
        </w:tc>
      </w:tr>
    </w:tbl>
    <w:p>
      <w:pPr>
        <w:spacing w:after="120" w:before="0"/>
        <w:jc w:val="left"/>
      </w:pPr>
      <w:r>
        <w:rPr>
          <w:rFonts w:ascii="Calibri" w:hAnsi="Calibri" w:eastAsia="Calibri"/>
          <w:b w:val="0"/>
          <w:i w:val="0"/>
          <w:color w:val="0B0B0B"/>
          <w:sz w:val="22"/>
        </w:rPr>
        <w:t>Each package beyond the included set: a flat per-user add-on (e.g. +$5–15/user/mo), not NetSuite-style flat per-month-regardless-of-size fees — keeping cost proportional for small teams, exactly where Logo and SAP both fail SMBs today.</w:t>
      </w:r>
    </w:p>
    <w:p>
      <w:pPr>
        <w:keepNext/>
        <w:spacing w:before="280" w:after="120"/>
        <w:pBdr>
          <w:bottom w:val="single" w:sz="6" w:space="2" w:color="D9E4F2"/>
        </w:pBdr>
      </w:pPr>
      <w:r>
        <w:rPr>
          <w:rFonts w:ascii="Calibri" w:hAnsi="Calibri" w:eastAsia="Calibri"/>
          <w:b/>
          <w:i w:val="0"/>
          <w:color w:val="2A78D6"/>
          <w:sz w:val="26"/>
        </w:rPr>
        <w:t>7.2  Cost Comparison vs. Incumbents (illustrative)</w:t>
      </w: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2436"/>
        <w:gridCol w:w="2436"/>
        <w:gridCol w:w="2436"/>
        <w:gridCol w:w="2436"/>
      </w:tblGrid>
      <w:tr>
        <w:tc>
          <w:tcPr>
            <w:tcW w:type="dxa" w:w="1814"/>
            <w:shd w:val="clear" w:color="auto" w:fill="0D366B"/>
            <w:tcMar>
              <w:top w:w="60" w:type="dxa"/>
              <w:bottom w:w="60" w:type="dxa"/>
              <w:start w:w="100" w:type="dxa"/>
              <w:end w:w="100" w:type="dxa"/>
            </w:tcMar>
          </w:tcPr>
          <w:p>
            <w:r>
              <w:rPr>
                <w:rFonts w:ascii="Calibri" w:hAnsi="Calibri" w:eastAsia="Calibri"/>
                <w:b/>
                <w:i w:val="0"/>
                <w:color w:val="FFFFFF"/>
                <w:sz w:val="20"/>
              </w:rPr>
            </w:r>
          </w:p>
        </w:tc>
        <w:tc>
          <w:tcPr>
            <w:tcW w:type="dxa" w:w="2154"/>
            <w:shd w:val="clear" w:color="auto" w:fill="0D366B"/>
            <w:tcMar>
              <w:top w:w="60" w:type="dxa"/>
              <w:bottom w:w="60" w:type="dxa"/>
              <w:start w:w="100" w:type="dxa"/>
              <w:end w:w="100" w:type="dxa"/>
            </w:tcMar>
          </w:tcPr>
          <w:p>
            <w:r>
              <w:rPr>
                <w:rFonts w:ascii="Calibri" w:hAnsi="Calibri" w:eastAsia="Calibri"/>
                <w:b/>
                <w:i w:val="0"/>
                <w:color w:val="FFFFFF"/>
                <w:sz w:val="20"/>
              </w:rPr>
              <w:t>SAP (mid-market)</w:t>
            </w:r>
          </w:p>
        </w:tc>
        <w:tc>
          <w:tcPr>
            <w:tcW w:type="dxa" w:w="2381"/>
            <w:shd w:val="clear" w:color="auto" w:fill="0D366B"/>
            <w:tcMar>
              <w:top w:w="60" w:type="dxa"/>
              <w:bottom w:w="60" w:type="dxa"/>
              <w:start w:w="100" w:type="dxa"/>
              <w:end w:w="100" w:type="dxa"/>
            </w:tcMar>
          </w:tcPr>
          <w:p>
            <w:r>
              <w:rPr>
                <w:rFonts w:ascii="Calibri" w:hAnsi="Calibri" w:eastAsia="Calibri"/>
                <w:b/>
                <w:i w:val="0"/>
                <w:color w:val="FFFFFF"/>
                <w:sz w:val="20"/>
              </w:rPr>
              <w:t>Logo (SMB, est.)</w:t>
            </w:r>
          </w:p>
        </w:tc>
        <w:tc>
          <w:tcPr>
            <w:tcW w:type="dxa" w:w="2721"/>
            <w:shd w:val="clear" w:color="auto" w:fill="0D366B"/>
            <w:tcMar>
              <w:top w:w="60" w:type="dxa"/>
              <w:bottom w:w="60" w:type="dxa"/>
              <w:start w:w="100" w:type="dxa"/>
              <w:end w:w="100" w:type="dxa"/>
            </w:tcMar>
          </w:tcPr>
          <w:p>
            <w:r>
              <w:rPr>
                <w:rFonts w:ascii="Calibri" w:hAnsi="Calibri" w:eastAsia="Calibri"/>
                <w:b/>
                <w:i w:val="0"/>
                <w:color w:val="FFFFFF"/>
                <w:sz w:val="20"/>
              </w:rPr>
              <w:t>Us (Growth tier, ~20 users)</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18"/>
              </w:rPr>
              <w:t>Year-1 all-in cost</w:t>
            </w:r>
          </w:p>
        </w:tc>
        <w:tc>
          <w:tcPr>
            <w:tcW w:type="dxa" w:w="2154"/>
            <w:tcMar>
              <w:top w:w="60" w:type="dxa"/>
              <w:bottom w:w="60" w:type="dxa"/>
              <w:start w:w="100" w:type="dxa"/>
              <w:end w:w="100" w:type="dxa"/>
            </w:tcMar>
          </w:tcPr>
          <w:p>
            <w:pPr>
              <w:spacing w:after="0"/>
            </w:pPr>
            <w:r>
              <w:rPr>
                <w:rFonts w:ascii="Calibri" w:hAnsi="Calibri" w:eastAsia="Calibri"/>
                <w:b w:val="0"/>
                <w:i w:val="0"/>
                <w:color w:val="0B0B0B"/>
                <w:sz w:val="18"/>
              </w:rPr>
              <w:t>$150K–$600K+</w:t>
            </w:r>
          </w:p>
        </w:tc>
        <w:tc>
          <w:tcPr>
            <w:tcW w:type="dxa" w:w="2381"/>
            <w:tcMar>
              <w:top w:w="60" w:type="dxa"/>
              <w:bottom w:w="60" w:type="dxa"/>
              <w:start w:w="100" w:type="dxa"/>
              <w:end w:w="100" w:type="dxa"/>
            </w:tcMar>
          </w:tcPr>
          <w:p>
            <w:pPr>
              <w:spacing w:after="0"/>
            </w:pPr>
            <w:r>
              <w:rPr>
                <w:rFonts w:ascii="Calibri" w:hAnsi="Calibri" w:eastAsia="Calibri"/>
                <w:b w:val="0"/>
                <w:i w:val="0"/>
                <w:color w:val="0B0B0B"/>
                <w:sz w:val="18"/>
              </w:rPr>
              <w:t>TRY 60K–150K license + undisclosed implementation</w:t>
            </w:r>
          </w:p>
        </w:tc>
        <w:tc>
          <w:tcPr>
            <w:tcW w:type="dxa" w:w="2721"/>
            <w:tcMar>
              <w:top w:w="60" w:type="dxa"/>
              <w:bottom w:w="60" w:type="dxa"/>
              <w:start w:w="100" w:type="dxa"/>
              <w:end w:w="100" w:type="dxa"/>
            </w:tcMar>
          </w:tcPr>
          <w:p>
            <w:pPr>
              <w:spacing w:after="0"/>
            </w:pPr>
            <w:r>
              <w:rPr>
                <w:rFonts w:ascii="Calibri" w:hAnsi="Calibri" w:eastAsia="Calibri"/>
                <w:b w:val="0"/>
                <w:i w:val="0"/>
                <w:color w:val="0B0B0B"/>
                <w:sz w:val="18"/>
              </w:rPr>
              <w:t>~$8,400–12,000/yr (~TRY 3M–4.3M), transparent</w:t>
            </w:r>
          </w:p>
        </w:tc>
      </w:tr>
      <w:tr>
        <w:tc>
          <w:tcPr>
            <w:tcW w:type="dxa" w:w="181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Implementation time</w:t>
            </w:r>
          </w:p>
        </w:tc>
        <w:tc>
          <w:tcPr>
            <w:tcW w:type="dxa" w:w="2154"/>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6mo–2yr+</w:t>
            </w:r>
          </w:p>
        </w:tc>
        <w:tc>
          <w:tcPr>
            <w:tcW w:type="dxa" w:w="238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Weeks–months (reseller dependent)</w:t>
            </w:r>
          </w:p>
        </w:tc>
        <w:tc>
          <w:tcPr>
            <w:tcW w:type="dxa" w:w="2721"/>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Weeks, AI-accelerated setup (target)</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18"/>
              </w:rPr>
              <w:t>Ongoing AI cost</w:t>
            </w:r>
          </w:p>
        </w:tc>
        <w:tc>
          <w:tcPr>
            <w:tcW w:type="dxa" w:w="2154"/>
            <w:tcMar>
              <w:top w:w="60" w:type="dxa"/>
              <w:bottom w:w="60" w:type="dxa"/>
              <w:start w:w="100" w:type="dxa"/>
              <w:end w:w="100" w:type="dxa"/>
            </w:tcMar>
          </w:tcPr>
          <w:p>
            <w:pPr>
              <w:spacing w:after="0"/>
            </w:pPr>
            <w:r>
              <w:rPr>
                <w:rFonts w:ascii="Calibri" w:hAnsi="Calibri" w:eastAsia="Calibri"/>
                <w:b w:val="0"/>
                <w:i w:val="0"/>
                <w:color w:val="0B0B0B"/>
                <w:sz w:val="18"/>
              </w:rPr>
              <w:t>Metered, can spike</w:t>
            </w:r>
          </w:p>
        </w:tc>
        <w:tc>
          <w:tcPr>
            <w:tcW w:type="dxa" w:w="2381"/>
            <w:tcMar>
              <w:top w:w="60" w:type="dxa"/>
              <w:bottom w:w="60" w:type="dxa"/>
              <w:start w:w="100" w:type="dxa"/>
              <w:end w:w="100" w:type="dxa"/>
            </w:tcMar>
          </w:tcPr>
          <w:p>
            <w:pPr>
              <w:spacing w:after="0"/>
            </w:pPr>
            <w:r>
              <w:rPr>
                <w:rFonts w:ascii="Calibri" w:hAnsi="Calibri" w:eastAsia="Calibri"/>
                <w:b w:val="0"/>
                <w:i w:val="0"/>
                <w:color w:val="0B0B0B"/>
                <w:sz w:val="18"/>
              </w:rPr>
              <w:t>None (bolt-on Masraff only)</w:t>
            </w:r>
          </w:p>
        </w:tc>
        <w:tc>
          <w:tcPr>
            <w:tcW w:type="dxa" w:w="2721"/>
            <w:tcMar>
              <w:top w:w="60" w:type="dxa"/>
              <w:bottom w:w="60" w:type="dxa"/>
              <w:start w:w="100" w:type="dxa"/>
              <w:end w:w="100" w:type="dxa"/>
            </w:tcMar>
          </w:tcPr>
          <w:p>
            <w:pPr>
              <w:spacing w:after="0"/>
            </w:pPr>
            <w:r>
              <w:rPr>
                <w:rFonts w:ascii="Calibri" w:hAnsi="Calibri" w:eastAsia="Calibri"/>
                <w:b w:val="0"/>
                <w:i w:val="0"/>
                <w:color w:val="0B0B0B"/>
                <w:sz w:val="18"/>
              </w:rPr>
              <w:t>Included base tier, predictable metered overage</w:t>
            </w:r>
          </w:p>
        </w:tc>
      </w:tr>
    </w:tbl>
    <w:p>
      <w:pPr>
        <w:keepNext/>
        <w:spacing w:before="280" w:after="120"/>
        <w:pBdr>
          <w:bottom w:val="single" w:sz="6" w:space="2" w:color="D9E4F2"/>
        </w:pBdr>
      </w:pPr>
      <w:r>
        <w:rPr>
          <w:rFonts w:ascii="Calibri" w:hAnsi="Calibri" w:eastAsia="Calibri"/>
          <w:b/>
          <w:i w:val="0"/>
          <w:color w:val="2A78D6"/>
          <w:sz w:val="26"/>
        </w:rPr>
        <w:t>7.3  Turkish Pricing Sensitivity Adjustment</w:t>
      </w:r>
    </w:p>
    <w:p>
      <w:pPr>
        <w:spacing w:after="120" w:before="0"/>
        <w:jc w:val="left"/>
      </w:pPr>
      <w:r>
        <w:rPr>
          <w:rFonts w:ascii="Calibri" w:hAnsi="Calibri" w:eastAsia="Calibri"/>
          <w:b w:val="0"/>
          <w:i w:val="0"/>
          <w:color w:val="0B0B0B"/>
          <w:sz w:val="22"/>
        </w:rPr>
        <w:t>Given the sub-0.5%-of-revenue historical spend ceiling, Starter-tier pricing for Turkey should be marketed around automation ROI (hours saved, errors caught) rather than feature lists. Consider a manufacturing-vertical bundle co-marketed with KOSGEB digital-transformation-credit eligibility as a Turkey-specific go-to-market lever.</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8   GO-TO-MARKET STRATEGY</w:t>
            </w:r>
          </w:p>
        </w:tc>
      </w:tr>
    </w:tbl>
    <w:p>
      <w:pPr>
        <w:spacing w:after="40"/>
      </w:pPr>
    </w:p>
    <w:p>
      <w:pPr>
        <w:pStyle w:val="ListBullet"/>
        <w:spacing w:after="80"/>
        <w:ind w:left="283"/>
      </w:pPr>
      <w:r>
        <w:rPr>
          <w:rFonts w:ascii="Calibri" w:hAnsi="Calibri" w:eastAsia="Calibri"/>
          <w:b/>
          <w:i w:val="0"/>
          <w:color w:val="0D366B"/>
          <w:sz w:val="22"/>
        </w:rPr>
        <w:t xml:space="preserve">Turkey-first, small-end-first.  </w:t>
      </w:r>
      <w:r>
        <w:rPr>
          <w:rFonts w:ascii="Calibri" w:hAnsi="Calibri" w:eastAsia="Calibri"/>
          <w:b w:val="0"/>
          <w:i w:val="0"/>
          <w:color w:val="0B0B0B"/>
          <w:sz w:val="22"/>
        </w:rPr>
        <w:t>Target the 76%+ of 10–49 employee firms with no ERP today, not a head-on fight for Logo's existing enterprise accounts. Lower switching-cost anxiety, lower CAC, validates the compliance engine on real GİB traffic before enterprise-scale volume.</w:t>
      </w:r>
    </w:p>
    <w:p>
      <w:pPr>
        <w:pStyle w:val="ListBullet"/>
        <w:spacing w:after="80"/>
        <w:ind w:left="283"/>
      </w:pPr>
      <w:r>
        <w:rPr>
          <w:rFonts w:ascii="Calibri" w:hAnsi="Calibri" w:eastAsia="Calibri"/>
          <w:b/>
          <w:i w:val="0"/>
          <w:color w:val="0D366B"/>
          <w:sz w:val="22"/>
        </w:rPr>
        <w:t xml:space="preserve">Compliance credibility as the entry ticket, AI as the differentiator.  </w:t>
      </w:r>
      <w:r>
        <w:rPr>
          <w:rFonts w:ascii="Calibri" w:hAnsi="Calibri" w:eastAsia="Calibri"/>
          <w:b w:val="0"/>
          <w:i w:val="0"/>
          <w:color w:val="0B0B0B"/>
          <w:sz w:val="22"/>
        </w:rPr>
        <w:t>Nobody adopts an ERP in Turkey that can't do e-Fatura/e-Defter/e-İrsaliye reliably — table stakes, not a selling point alone. Once that trust bar is cleared, AI-native UX and pricing transparency become the real differentiators against Logo.</w:t>
      </w:r>
    </w:p>
    <w:p>
      <w:pPr>
        <w:pStyle w:val="ListBullet"/>
        <w:spacing w:after="80"/>
        <w:ind w:left="283"/>
      </w:pPr>
      <w:r>
        <w:rPr>
          <w:rFonts w:ascii="Calibri" w:hAnsi="Calibri" w:eastAsia="Calibri"/>
          <w:b/>
          <w:i w:val="0"/>
          <w:color w:val="0D366B"/>
          <w:sz w:val="22"/>
        </w:rPr>
        <w:t xml:space="preserve">Build a leaner reseller/consultant channel than Logo's.  </w:t>
      </w:r>
      <w:r>
        <w:rPr>
          <w:rFonts w:ascii="Calibri" w:hAnsi="Calibri" w:eastAsia="Calibri"/>
          <w:b w:val="0"/>
          <w:i w:val="0"/>
          <w:color w:val="0B0B0B"/>
          <w:sz w:val="22"/>
        </w:rPr>
        <w:t>Logo's İş Ortağı network is both a strength (distribution, familiarity) and a resented cost center (opaque implementation billing). A leaner certified-partner program, plus AI-accelerated self-serve onboarding for the Starter tier, can undercut this.</w:t>
      </w:r>
    </w:p>
    <w:p>
      <w:pPr>
        <w:pStyle w:val="ListBullet"/>
        <w:spacing w:after="80"/>
        <w:ind w:left="283"/>
      </w:pPr>
      <w:r>
        <w:rPr>
          <w:rFonts w:ascii="Calibri" w:hAnsi="Calibri" w:eastAsia="Calibri"/>
          <w:b/>
          <w:i w:val="0"/>
          <w:color w:val="0D366B"/>
          <w:sz w:val="22"/>
        </w:rPr>
        <w:t xml:space="preserve">Secondary: English-speaking SMB/mid-market.  </w:t>
      </w:r>
      <w:r>
        <w:rPr>
          <w:rFonts w:ascii="Calibri" w:hAnsi="Calibri" w:eastAsia="Calibri"/>
          <w:b w:val="0"/>
          <w:i w:val="0"/>
          <w:color w:val="0B0B0B"/>
          <w:sz w:val="22"/>
        </w:rPr>
        <w:t>Compete in the same category as Rillet/DualEntry, differentiated by full operational scope — likely a Phase 3+ effort once Turkey traction and compliance-engine depth are proven.</w:t>
      </w:r>
    </w:p>
    <w:p>
      <w:pPr>
        <w:pStyle w:val="ListBullet"/>
        <w:spacing w:after="80"/>
        <w:ind w:left="283"/>
      </w:pPr>
      <w:r>
        <w:rPr>
          <w:rFonts w:ascii="Calibri" w:hAnsi="Calibri" w:eastAsia="Calibri"/>
          <w:b/>
          <w:i w:val="0"/>
          <w:color w:val="0D366B"/>
          <w:sz w:val="22"/>
        </w:rPr>
        <w:t xml:space="preserve">Vertical wedge candidates worth testing.  </w:t>
      </w:r>
      <w:r>
        <w:rPr>
          <w:rFonts w:ascii="Calibri" w:hAnsi="Calibri" w:eastAsia="Calibri"/>
          <w:b w:val="0"/>
          <w:i w:val="0"/>
          <w:color w:val="0B0B0B"/>
          <w:sz w:val="22"/>
        </w:rPr>
        <w:t>Manufacturing SMEs (KOSGEB credit eligibility as a real acquisition lever) and retail/multi-store (competing with Nebim's POS+inventory tightness) both look like defensible first verticals.</w:t>
      </w:r>
    </w:p>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9   ROADMAP (PHASED)</w:t>
            </w:r>
          </w:p>
        </w:tc>
      </w:tr>
    </w:tbl>
    <w:p>
      <w:pPr>
        <w:spacing w:after="40"/>
      </w:pP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1814"/>
            <w:shd w:val="clear" w:color="auto" w:fill="0D366B"/>
            <w:tcMar>
              <w:top w:w="60" w:type="dxa"/>
              <w:bottom w:w="60" w:type="dxa"/>
              <w:start w:w="100" w:type="dxa"/>
              <w:end w:w="100" w:type="dxa"/>
            </w:tcMar>
          </w:tcPr>
          <w:p>
            <w:r>
              <w:rPr>
                <w:rFonts w:ascii="Calibri" w:hAnsi="Calibri" w:eastAsia="Calibri"/>
                <w:b/>
                <w:i w:val="0"/>
                <w:color w:val="FFFFFF"/>
                <w:sz w:val="20"/>
              </w:rPr>
              <w:t>Phase</w:t>
            </w:r>
          </w:p>
        </w:tc>
        <w:tc>
          <w:tcPr>
            <w:tcW w:type="dxa" w:w="6690"/>
            <w:shd w:val="clear" w:color="auto" w:fill="0D366B"/>
            <w:tcMar>
              <w:top w:w="60" w:type="dxa"/>
              <w:bottom w:w="60" w:type="dxa"/>
              <w:start w:w="100" w:type="dxa"/>
              <w:end w:w="100" w:type="dxa"/>
            </w:tcMar>
          </w:tcPr>
          <w:p>
            <w:r>
              <w:rPr>
                <w:rFonts w:ascii="Calibri" w:hAnsi="Calibri" w:eastAsia="Calibri"/>
                <w:b/>
                <w:i w:val="0"/>
                <w:color w:val="FFFFFF"/>
                <w:sz w:val="20"/>
              </w:rPr>
              <w:t>Focus</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20"/>
              </w:rPr>
              <w:t>Phase 0 — Validate</w:t>
            </w:r>
          </w:p>
        </w:tc>
        <w:tc>
          <w:tcPr>
            <w:tcW w:type="dxa" w:w="6690"/>
            <w:tcMar>
              <w:top w:w="60" w:type="dxa"/>
              <w:bottom w:w="60" w:type="dxa"/>
              <w:start w:w="100" w:type="dxa"/>
              <w:end w:w="100" w:type="dxa"/>
            </w:tcMar>
          </w:tcPr>
          <w:p>
            <w:pPr>
              <w:spacing w:after="0"/>
            </w:pPr>
            <w:r>
              <w:rPr>
                <w:rFonts w:ascii="Calibri" w:hAnsi="Calibri" w:eastAsia="Calibri"/>
                <w:b w:val="0"/>
                <w:i w:val="0"/>
                <w:color w:val="0B0B0B"/>
                <w:sz w:val="20"/>
              </w:rPr>
              <w:t>Decide rip-and-replace-full-ERP vs. copilot-on-incumbent-Logo as the wedge. If speed-to-revenue matters most, an AI layer on top of an existing Logo/Netsis install could be a faster initial product than a full Core rebuild.</w:t>
            </w:r>
          </w:p>
        </w:tc>
      </w:tr>
      <w:tr>
        <w:tc>
          <w:tcPr>
            <w:tcW w:type="dxa" w:w="1814"/>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Phase 1 — MVP</w:t>
            </w:r>
          </w:p>
        </w:tc>
        <w:tc>
          <w:tcPr>
            <w:tcW w:type="dxa" w:w="6690"/>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Core platform (GL, AR/AP, users/permissions, base AI chat layer, audit infra) + Turkey Localization Pack (e-Fatura/e-Arşiv/e-Defter minimum) + 1–2 packages (likely Purchasing + Inventory). Starter + Growth tiers only.</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20"/>
              </w:rPr>
              <w:t>Phase 2</w:t>
            </w:r>
          </w:p>
        </w:tc>
        <w:tc>
          <w:tcPr>
            <w:tcW w:type="dxa" w:w="6690"/>
            <w:tcMar>
              <w:top w:w="60" w:type="dxa"/>
              <w:bottom w:w="60" w:type="dxa"/>
              <w:start w:w="100" w:type="dxa"/>
              <w:end w:w="100" w:type="dxa"/>
            </w:tcMar>
          </w:tcPr>
          <w:p>
            <w:pPr>
              <w:spacing w:after="0"/>
            </w:pPr>
            <w:r>
              <w:rPr>
                <w:rFonts w:ascii="Calibri" w:hAnsi="Calibri" w:eastAsia="Calibri"/>
                <w:b w:val="0"/>
                <w:i w:val="0"/>
                <w:color w:val="0B0B0B"/>
                <w:sz w:val="20"/>
              </w:rPr>
              <w:t>Add Manufacturing, HR/Payroll (SGK integration), CRM/Sales packages. Introduce metered AI Action credits and Professional tier. Expand e-İrsaliye/e-Müstahsil/full e-Beyanname compliance depth.</w:t>
            </w:r>
          </w:p>
        </w:tc>
      </w:tr>
      <w:tr>
        <w:tc>
          <w:tcPr>
            <w:tcW w:type="dxa" w:w="1814"/>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Phase 3</w:t>
            </w:r>
          </w:p>
        </w:tc>
        <w:tc>
          <w:tcPr>
            <w:tcW w:type="dxa" w:w="6690"/>
            <w:tcMar>
              <w:top w:w="60" w:type="dxa"/>
              <w:bottom w:w="60" w:type="dxa"/>
              <w:start w:w="100" w:type="dxa"/>
              <w:end w:w="100" w:type="dxa"/>
            </w:tcMar>
            <w:shd w:val="clear" w:color="auto" w:fill="F7F7F5"/>
          </w:tcPr>
          <w:p>
            <w:pPr>
              <w:spacing w:after="0"/>
            </w:pPr>
            <w:r>
              <w:rPr>
                <w:rFonts w:ascii="Calibri" w:hAnsi="Calibri" w:eastAsia="Calibri"/>
                <w:b w:val="0"/>
                <w:i w:val="0"/>
                <w:color w:val="0B0B0B"/>
                <w:sz w:val="20"/>
              </w:rPr>
              <w:t>POS/Retail, E-commerce integration, Advanced BI, Advanced AI Agents Pack (custom agent builder). Evaluate first non-Turkey market entry.</w:t>
            </w:r>
          </w:p>
        </w:tc>
      </w:tr>
      <w:tr>
        <w:tc>
          <w:tcPr>
            <w:tcW w:type="dxa" w:w="1814"/>
            <w:tcMar>
              <w:top w:w="60" w:type="dxa"/>
              <w:bottom w:w="60" w:type="dxa"/>
              <w:start w:w="100" w:type="dxa"/>
              <w:end w:w="100" w:type="dxa"/>
            </w:tcMar>
          </w:tcPr>
          <w:p>
            <w:pPr>
              <w:spacing w:after="0"/>
            </w:pPr>
            <w:r>
              <w:rPr>
                <w:rFonts w:ascii="Calibri" w:hAnsi="Calibri" w:eastAsia="Calibri"/>
                <w:b w:val="0"/>
                <w:i w:val="0"/>
                <w:color w:val="0B0B0B"/>
                <w:sz w:val="20"/>
              </w:rPr>
              <w:t>Phase 4</w:t>
            </w:r>
          </w:p>
        </w:tc>
        <w:tc>
          <w:tcPr>
            <w:tcW w:type="dxa" w:w="6690"/>
            <w:tcMar>
              <w:top w:w="60" w:type="dxa"/>
              <w:bottom w:w="60" w:type="dxa"/>
              <w:start w:w="100" w:type="dxa"/>
              <w:end w:w="100" w:type="dxa"/>
            </w:tcMar>
          </w:tcPr>
          <w:p>
            <w:pPr>
              <w:spacing w:after="0"/>
            </w:pPr>
            <w:r>
              <w:rPr>
                <w:rFonts w:ascii="Calibri" w:hAnsi="Calibri" w:eastAsia="Calibri"/>
                <w:b w:val="0"/>
                <w:i w:val="0"/>
                <w:color w:val="0B0B0B"/>
                <w:sz w:val="20"/>
              </w:rPr>
              <w:t>Enterprise tier (multi-entity, on-prem/VPC AI option), additional country localization packs.</w:t>
            </w:r>
          </w:p>
        </w:tc>
      </w:tr>
    </w:tbl>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10   RISKS &amp; MITIGATIONS</w:t>
            </w:r>
          </w:p>
        </w:tc>
      </w:tr>
    </w:tbl>
    <w:p>
      <w:pPr>
        <w:spacing w:after="40"/>
      </w:pPr>
    </w:p>
    <w:tbl>
      <w:tblPr>
        <w:tblW w:type="auto" w:w="0"/>
        <w:jc w:val="center"/>
        <w:tblLayout w:type="autofit"/>
        <w:tblLook w:firstColumn="1" w:firstRow="1" w:lastColumn="0" w:lastRow="0" w:noHBand="0" w:noVBand="1" w:val="04A0"/>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Pr>
      <w:tblGrid>
        <w:gridCol w:w="4873"/>
        <w:gridCol w:w="4873"/>
      </w:tblGrid>
      <w:tr>
        <w:tc>
          <w:tcPr>
            <w:tcW w:type="dxa" w:w="3855"/>
            <w:shd w:val="clear" w:color="auto" w:fill="0D366B"/>
            <w:tcMar>
              <w:top w:w="60" w:type="dxa"/>
              <w:bottom w:w="60" w:type="dxa"/>
              <w:start w:w="100" w:type="dxa"/>
              <w:end w:w="100" w:type="dxa"/>
            </w:tcMar>
          </w:tcPr>
          <w:p>
            <w:r>
              <w:rPr>
                <w:rFonts w:ascii="Calibri" w:hAnsi="Calibri" w:eastAsia="Calibri"/>
                <w:b/>
                <w:i w:val="0"/>
                <w:color w:val="FFFFFF"/>
                <w:sz w:val="20"/>
              </w:rPr>
              <w:t>Risk</w:t>
            </w:r>
          </w:p>
        </w:tc>
        <w:tc>
          <w:tcPr>
            <w:tcW w:type="dxa" w:w="4649"/>
            <w:shd w:val="clear" w:color="auto" w:fill="0D366B"/>
            <w:tcMar>
              <w:top w:w="60" w:type="dxa"/>
              <w:bottom w:w="60" w:type="dxa"/>
              <w:start w:w="100" w:type="dxa"/>
              <w:end w:w="100" w:type="dxa"/>
            </w:tcMar>
          </w:tcPr>
          <w:p>
            <w:r>
              <w:rPr>
                <w:rFonts w:ascii="Calibri" w:hAnsi="Calibri" w:eastAsia="Calibri"/>
                <w:b/>
                <w:i w:val="0"/>
                <w:color w:val="FFFFFF"/>
                <w:sz w:val="20"/>
              </w:rPr>
              <w:t>Mitigation</w:t>
            </w:r>
          </w:p>
        </w:tc>
      </w:tr>
      <w:tr>
        <w:tc>
          <w:tcPr>
            <w:tcW w:type="dxa" w:w="3855"/>
            <w:tcMar>
              <w:top w:w="60" w:type="dxa"/>
              <w:bottom w:w="60" w:type="dxa"/>
              <w:start w:w="100" w:type="dxa"/>
              <w:end w:w="100" w:type="dxa"/>
            </w:tcMar>
          </w:tcPr>
          <w:p>
            <w:pPr>
              <w:spacing w:after="0"/>
            </w:pPr>
            <w:r>
              <w:rPr>
                <w:rFonts w:ascii="Calibri" w:hAnsi="Calibri" w:eastAsia="Calibri"/>
                <w:b w:val="0"/>
                <w:i w:val="0"/>
                <w:color w:val="0B0B0B"/>
                <w:sz w:val="18"/>
              </w:rPr>
              <w:t>GİB compliance requirements shift ~annually — underestimating this is the #1 way to lose Turkish customer trust</w:t>
            </w:r>
          </w:p>
        </w:tc>
        <w:tc>
          <w:tcPr>
            <w:tcW w:type="dxa" w:w="4649"/>
            <w:tcMar>
              <w:top w:w="60" w:type="dxa"/>
              <w:bottom w:w="60" w:type="dxa"/>
              <w:start w:w="100" w:type="dxa"/>
              <w:end w:w="100" w:type="dxa"/>
            </w:tcMar>
          </w:tcPr>
          <w:p>
            <w:pPr>
              <w:spacing w:after="0"/>
            </w:pPr>
            <w:r>
              <w:rPr>
                <w:rFonts w:ascii="Calibri" w:hAnsi="Calibri" w:eastAsia="Calibri"/>
                <w:b w:val="0"/>
                <w:i w:val="0"/>
                <w:color w:val="0B0B0B"/>
                <w:sz w:val="18"/>
              </w:rPr>
              <w:t>Dedicated, permanent compliance/localization team from day one, budgeted as ongoing headcount, not a feature</w:t>
            </w:r>
          </w:p>
        </w:tc>
      </w:tr>
      <w:tr>
        <w:tc>
          <w:tcPr>
            <w:tcW w:type="dxa" w:w="385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AI hallucination on financial numbers destroys trust instantly</w:t>
            </w:r>
          </w:p>
        </w:tc>
        <w:tc>
          <w:tcPr>
            <w:tcW w:type="dxa" w:w="4649"/>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Mandatory semantic-layer architecture — LLM never free-composes financial SQL; deterministic computation + LLM narration only</w:t>
            </w:r>
          </w:p>
        </w:tc>
      </w:tr>
      <w:tr>
        <w:tc>
          <w:tcPr>
            <w:tcW w:type="dxa" w:w="3855"/>
            <w:tcMar>
              <w:top w:w="60" w:type="dxa"/>
              <w:bottom w:w="60" w:type="dxa"/>
              <w:start w:w="100" w:type="dxa"/>
              <w:end w:w="100" w:type="dxa"/>
            </w:tcMar>
          </w:tcPr>
          <w:p>
            <w:pPr>
              <w:spacing w:after="0"/>
            </w:pPr>
            <w:r>
              <w:rPr>
                <w:rFonts w:ascii="Calibri" w:hAnsi="Calibri" w:eastAsia="Calibri"/>
                <w:b w:val="0"/>
                <w:i w:val="0"/>
                <w:color w:val="0B0B0B"/>
                <w:sz w:val="18"/>
              </w:rPr>
              <w:t>Permission/data-leakage failures (per EchoLeak/SearchLeak precedent)</w:t>
            </w:r>
          </w:p>
        </w:tc>
        <w:tc>
          <w:tcPr>
            <w:tcW w:type="dxa" w:w="4649"/>
            <w:tcMar>
              <w:top w:w="60" w:type="dxa"/>
              <w:bottom w:w="60" w:type="dxa"/>
              <w:start w:w="100" w:type="dxa"/>
              <w:end w:w="100" w:type="dxa"/>
            </w:tcMar>
          </w:tcPr>
          <w:p>
            <w:pPr>
              <w:spacing w:after="0"/>
            </w:pPr>
            <w:r>
              <w:rPr>
                <w:rFonts w:ascii="Calibri" w:hAnsi="Calibri" w:eastAsia="Calibri"/>
                <w:b w:val="0"/>
                <w:i w:val="0"/>
                <w:color w:val="0B0B0B"/>
                <w:sz w:val="18"/>
              </w:rPr>
              <w:t>AI layer calls through the same RLS-aware access layer as the UI; no separate broader-access AI service account</w:t>
            </w:r>
          </w:p>
        </w:tc>
      </w:tr>
      <w:tr>
        <w:tc>
          <w:tcPr>
            <w:tcW w:type="dxa" w:w="385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Turkish market's &lt;0.5%-of-revenue software spend ceiling limits achievable ARPU</w:t>
            </w:r>
          </w:p>
        </w:tc>
        <w:tc>
          <w:tcPr>
            <w:tcW w:type="dxa" w:w="4649"/>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Lead marketing with automation-ROI framing; use vertical bundles (manufacturing + KOSGEB) to justify higher willingness-to-pay</w:t>
            </w:r>
          </w:p>
        </w:tc>
      </w:tr>
      <w:tr>
        <w:tc>
          <w:tcPr>
            <w:tcW w:type="dxa" w:w="3855"/>
            <w:tcMar>
              <w:top w:w="60" w:type="dxa"/>
              <w:bottom w:w="60" w:type="dxa"/>
              <w:start w:w="100" w:type="dxa"/>
              <w:end w:w="100" w:type="dxa"/>
            </w:tcMar>
          </w:tcPr>
          <w:p>
            <w:pPr>
              <w:spacing w:after="0"/>
            </w:pPr>
            <w:r>
              <w:rPr>
                <w:rFonts w:ascii="Calibri" w:hAnsi="Calibri" w:eastAsia="Calibri"/>
                <w:b w:val="0"/>
                <w:i w:val="0"/>
                <w:color w:val="0B0B0B"/>
                <w:sz w:val="18"/>
              </w:rPr>
              <w:t>Well-funded AI-native competitors could expand into broader ERP scope or into Turkey</w:t>
            </w:r>
          </w:p>
        </w:tc>
        <w:tc>
          <w:tcPr>
            <w:tcW w:type="dxa" w:w="4649"/>
            <w:tcMar>
              <w:top w:w="60" w:type="dxa"/>
              <w:bottom w:w="60" w:type="dxa"/>
              <w:start w:w="100" w:type="dxa"/>
              <w:end w:w="100" w:type="dxa"/>
            </w:tcMar>
          </w:tcPr>
          <w:p>
            <w:pPr>
              <w:spacing w:after="0"/>
            </w:pPr>
            <w:r>
              <w:rPr>
                <w:rFonts w:ascii="Calibri" w:hAnsi="Calibri" w:eastAsia="Calibri"/>
                <w:b w:val="0"/>
                <w:i w:val="0"/>
                <w:color w:val="0B0B0B"/>
                <w:sz w:val="18"/>
              </w:rPr>
              <w:t>Move faster on compliance-engine depth (real moat) and full operational scope (they're finance-only today)</w:t>
            </w:r>
          </w:p>
        </w:tc>
      </w:tr>
      <w:tr>
        <w:tc>
          <w:tcPr>
            <w:tcW w:type="dxa" w:w="3855"/>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Full-ERP build is a multi-year effort before reaching revenue-relevant scope</w:t>
            </w:r>
          </w:p>
        </w:tc>
        <w:tc>
          <w:tcPr>
            <w:tcW w:type="dxa" w:w="4649"/>
            <w:tcMar>
              <w:top w:w="60" w:type="dxa"/>
              <w:bottom w:w="60" w:type="dxa"/>
              <w:start w:w="100" w:type="dxa"/>
              <w:end w:w="100" w:type="dxa"/>
            </w:tcMar>
            <w:shd w:val="clear" w:color="auto" w:fill="F7F7F5"/>
          </w:tcPr>
          <w:p>
            <w:pPr>
              <w:spacing w:after="0"/>
            </w:pPr>
            <w:r>
              <w:rPr>
                <w:rFonts w:ascii="Calibri" w:hAnsi="Calibri" w:eastAsia="Calibri"/>
                <w:b w:val="0"/>
                <w:i w:val="0"/>
                <w:color w:val="0B0B0B"/>
                <w:sz w:val="18"/>
              </w:rPr>
              <w:t>Consider the Phase 0 wedge decision seriously — narrower first product de-risks time-to-revenue</w:t>
            </w:r>
          </w:p>
        </w:tc>
      </w:tr>
    </w:tbl>
    <w:p>
      <w:r>
        <w:br w:type="page"/>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color="auto" w:fill="0D366B"/>
            <w:tcMar>
              <w:top w:w="140" w:type="dxa"/>
              <w:bottom w:w="140" w:type="dxa"/>
              <w:start w:w="200" w:type="dxa"/>
              <w:end w:w="200" w:type="dxa"/>
            </w:tcMar>
          </w:tcPr>
          <w:p>
            <w:pPr>
              <w:jc w:val="left"/>
            </w:pPr>
            <w:r>
              <w:rPr>
                <w:rFonts w:ascii="Calibri" w:hAnsi="Calibri" w:eastAsia="Calibri"/>
                <w:b/>
                <w:i w:val="0"/>
                <w:color w:val="FFFFFF"/>
                <w:sz w:val="32"/>
              </w:rPr>
              <w:t>11   OPEN QUESTIONS</w:t>
            </w:r>
          </w:p>
        </w:tc>
      </w:tr>
    </w:tbl>
    <w:p>
      <w:pPr>
        <w:spacing w:after="40"/>
      </w:pPr>
    </w:p>
    <w:p>
      <w:pPr>
        <w:pStyle w:val="ListBullet"/>
        <w:spacing w:after="80"/>
        <w:ind w:left="283"/>
      </w:pPr>
      <w:r>
        <w:rPr>
          <w:rFonts w:ascii="Calibri" w:hAnsi="Calibri" w:eastAsia="Calibri"/>
          <w:b/>
          <w:i w:val="0"/>
          <w:color w:val="0D366B"/>
          <w:sz w:val="22"/>
        </w:rPr>
        <w:t xml:space="preserve">1.  </w:t>
      </w:r>
      <w:r>
        <w:rPr>
          <w:rFonts w:ascii="Calibri" w:hAnsi="Calibri" w:eastAsia="Calibri"/>
          <w:b w:val="0"/>
          <w:i w:val="0"/>
          <w:color w:val="0B0B0B"/>
          <w:sz w:val="22"/>
        </w:rPr>
        <w:t>Rip-and-replace full ERP vs. AI-copilot-layered-on-existing-Logo/Netsis installs as the initial wedge — which risk profile do you want?</w:t>
      </w:r>
    </w:p>
    <w:p>
      <w:pPr>
        <w:pStyle w:val="ListBullet"/>
        <w:spacing w:after="80"/>
        <w:ind w:left="283"/>
      </w:pPr>
      <w:r>
        <w:rPr>
          <w:rFonts w:ascii="Calibri" w:hAnsi="Calibri" w:eastAsia="Calibri"/>
          <w:b/>
          <w:i w:val="0"/>
          <w:color w:val="0D366B"/>
          <w:sz w:val="22"/>
        </w:rPr>
        <w:t xml:space="preserve">2.  </w:t>
      </w:r>
      <w:r>
        <w:rPr>
          <w:rFonts w:ascii="Calibri" w:hAnsi="Calibri" w:eastAsia="Calibri"/>
          <w:b w:val="0"/>
          <w:i w:val="0"/>
          <w:color w:val="0B0B0B"/>
          <w:sz w:val="22"/>
        </w:rPr>
        <w:t>Which package should ship first after Core: Purchasing, Inventory, or something else based on customer conversations already in progress?</w:t>
      </w:r>
    </w:p>
    <w:p>
      <w:pPr>
        <w:pStyle w:val="ListBullet"/>
        <w:spacing w:after="80"/>
        <w:ind w:left="283"/>
      </w:pPr>
      <w:r>
        <w:rPr>
          <w:rFonts w:ascii="Calibri" w:hAnsi="Calibri" w:eastAsia="Calibri"/>
          <w:b/>
          <w:i w:val="0"/>
          <w:color w:val="0D366B"/>
          <w:sz w:val="22"/>
        </w:rPr>
        <w:t xml:space="preserve">3.  </w:t>
      </w:r>
      <w:r>
        <w:rPr>
          <w:rFonts w:ascii="Calibri" w:hAnsi="Calibri" w:eastAsia="Calibri"/>
          <w:b w:val="0"/>
          <w:i w:val="0"/>
          <w:color w:val="0B0B0B"/>
          <w:sz w:val="22"/>
        </w:rPr>
        <w:t>Do we want a services/implementation arm ourselves, or stay pure-SaaS and rely on partners? This affects margin structure and the “fast implementation” differentiator.</w:t>
      </w:r>
    </w:p>
    <w:p>
      <w:pPr>
        <w:pStyle w:val="ListBullet"/>
        <w:spacing w:after="80"/>
        <w:ind w:left="283"/>
      </w:pPr>
      <w:r>
        <w:rPr>
          <w:rFonts w:ascii="Calibri" w:hAnsi="Calibri" w:eastAsia="Calibri"/>
          <w:b/>
          <w:i w:val="0"/>
          <w:color w:val="0D366B"/>
          <w:sz w:val="22"/>
        </w:rPr>
        <w:t xml:space="preserve">4.  </w:t>
      </w:r>
      <w:r>
        <w:rPr>
          <w:rFonts w:ascii="Calibri" w:hAnsi="Calibri" w:eastAsia="Calibri"/>
          <w:b w:val="0"/>
          <w:i w:val="0"/>
          <w:color w:val="0B0B0B"/>
          <w:sz w:val="22"/>
        </w:rPr>
        <w:t>Target company name/brand — this doc is written vendor-name-agnostic; worth deciding early since it affects domain, trademark search, and Turkish-market brand testing.</w:t>
      </w:r>
    </w:p>
    <w:p>
      <w:pPr>
        <w:pStyle w:val="ListBullet"/>
        <w:spacing w:after="80"/>
        <w:ind w:left="283"/>
      </w:pPr>
      <w:r>
        <w:rPr>
          <w:rFonts w:ascii="Calibri" w:hAnsi="Calibri" w:eastAsia="Calibri"/>
          <w:b/>
          <w:i w:val="0"/>
          <w:color w:val="0D366B"/>
          <w:sz w:val="22"/>
        </w:rPr>
        <w:t xml:space="preserve">5.  </w:t>
      </w:r>
      <w:r>
        <w:rPr>
          <w:rFonts w:ascii="Calibri" w:hAnsi="Calibri" w:eastAsia="Calibri"/>
          <w:b w:val="0"/>
          <w:i w:val="0"/>
          <w:color w:val="0B0B0B"/>
          <w:sz w:val="22"/>
        </w:rPr>
        <w:t>Any existing customer conversations, LOIs, or design partners already in motion that should reshape the Phase 1 package priorities?</w:t>
      </w:r>
    </w:p>
    <w:p/>
    <w:p>
      <w:pPr>
        <w:keepNext/>
        <w:spacing w:before="280" w:after="120"/>
        <w:pBdr>
          <w:bottom w:val="single" w:sz="6" w:space="2" w:color="D9E4F2"/>
        </w:pBdr>
      </w:pPr>
      <w:r>
        <w:rPr>
          <w:rFonts w:ascii="Calibri" w:hAnsi="Calibri" w:eastAsia="Calibri"/>
          <w:b/>
          <w:i w:val="0"/>
          <w:color w:val="898781"/>
          <w:sz w:val="22"/>
        </w:rPr>
        <w:t>Sources</w:t>
      </w:r>
    </w:p>
    <w:p>
      <w:pPr>
        <w:spacing w:after="120" w:before="0"/>
        <w:jc w:val="left"/>
      </w:pPr>
      <w:r>
        <w:rPr>
          <w:rFonts w:ascii="Calibri" w:hAnsi="Calibri" w:eastAsia="Calibri"/>
          <w:b w:val="0"/>
          <w:i w:val="0"/>
          <w:color w:val="898781"/>
          <w:sz w:val="19"/>
        </w:rPr>
        <w:t>Global ERP pricing/TCO: Redress Compliance, Top10ERP, SAP News Center, ERP Research, MSDynamicsWorld, Getlatka. AI-native ERP startups: TechFundingNews, PR Newswire, Balderton Capital, Kruze Consulting. Turkish market: Logo IR filings, Fintechtime, Paraanaliz, Tracxn, Şikayetvar, TÜİK 2024/2025 releases, KOSGEB program documentation, Sovos TR. AI architecture: SAP Architecture Center, Microsoft Power Platform Blog, Oracle Fusion Agent Studio announcements, dbt/getdbt.com semantic layer benchmarks, Wren AI, Cerbos, arXiv enterprise text-to-SQL benchmark (2604.25149). Full research notes available in docs/product.md.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898781"/>
        <w:sz w:val="16"/>
      </w:rPr>
      <w:t xml:space="preserve">AI-Native ERP — Product &amp; Market Strategy   |   Confidential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