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Entity Mapping</w:t>
      </w:r>
    </w:p>
    <w:p>
      <w:pPr>
        <w:pStyle w:val="Heading1"/>
        <w:bidi w:val="0"/>
        <w:ind w:hanging="0" w:start="0"/>
        <w:rPr/>
      </w:pPr>
      <w:r>
        <w:rPr/>
        <w:t>UA Object and Beeswax Mapping Overview</w:t>
      </w:r>
    </w:p>
    <w:p>
      <w:pPr>
        <w:pStyle w:val="BodyText"/>
        <w:bidi w:val="0"/>
        <w:rPr/>
      </w:pPr>
      <w:r>
        <w:rPr/>
        <w:t>This document summarizes the UA objects and external mappings that are relevant to the sigma data dictionary. It is intentionally focused on the data used for hierarchy, delivery configuration, targeting, measurement, raw logs, and attribution.</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Universal Ads object / dataset</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High-level definition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Beeswax / external mapping</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User-visible?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nuance</w:t>
            </w:r>
          </w:p>
        </w:tc>
      </w:tr>
      <w:tr>
        <w:trPr/>
        <w:tc>
          <w:tcPr>
            <w:tcW w:w="1927" w:type="dxa"/>
            <w:tcBorders>
              <w:start w:val="single" w:sz="4" w:space="0" w:color="000000"/>
              <w:bottom w:val="single" w:sz="4" w:space="0" w:color="000000"/>
            </w:tcBorders>
          </w:tcPr>
          <w:p>
            <w:pPr>
              <w:pStyle w:val="TableContents"/>
              <w:bidi w:val="0"/>
              <w:jc w:val="start"/>
              <w:rPr/>
            </w:pPr>
            <w:r>
              <w:rPr/>
              <w:t>Organization</w:t>
            </w:r>
          </w:p>
        </w:tc>
        <w:tc>
          <w:tcPr>
            <w:tcW w:w="1928" w:type="dxa"/>
            <w:tcBorders>
              <w:start w:val="single" w:sz="4" w:space="0" w:color="000000"/>
              <w:bottom w:val="single" w:sz="4" w:space="0" w:color="000000"/>
            </w:tcBorders>
          </w:tcPr>
          <w:p>
            <w:pPr>
              <w:pStyle w:val="TableContents"/>
              <w:bidi w:val="0"/>
              <w:jc w:val="start"/>
              <w:rPr/>
            </w:pPr>
            <w:r>
              <w:rPr/>
              <w:t>Top-level business entity for the customer. Owns ad accounts and provides tenant-level context.</w:t>
            </w:r>
          </w:p>
        </w:tc>
        <w:tc>
          <w:tcPr>
            <w:tcW w:w="1927" w:type="dxa"/>
            <w:tcBorders>
              <w:start w:val="single" w:sz="4" w:space="0" w:color="000000"/>
              <w:bottom w:val="single" w:sz="4" w:space="0" w:color="000000"/>
            </w:tcBorders>
          </w:tcPr>
          <w:p>
            <w:pPr>
              <w:pStyle w:val="TableContents"/>
              <w:bidi w:val="0"/>
              <w:jc w:val="start"/>
              <w:rPr/>
            </w:pPr>
            <w:r>
              <w:rPr/>
              <w:t>Beeswax account / UA account context</w:t>
            </w:r>
          </w:p>
        </w:tc>
        <w:tc>
          <w:tcPr>
            <w:tcW w:w="1928" w:type="dxa"/>
            <w:tcBorders>
              <w:start w:val="single" w:sz="4" w:space="0" w:color="000000"/>
              <w:bottom w:val="single" w:sz="4" w:space="0" w:color="000000"/>
            </w:tcBorders>
          </w:tcPr>
          <w:p>
            <w:pPr>
              <w:pStyle w:val="TableContents"/>
              <w:bidi w:val="0"/>
              <w:jc w:val="start"/>
              <w:rPr/>
            </w:pPr>
            <w:r>
              <w:rPr/>
              <w:t>Yes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Useful for customer hierarchy, account ownership, timezone, inventory access, and financial context.</w:t>
            </w:r>
          </w:p>
        </w:tc>
      </w:tr>
      <w:tr>
        <w:trPr/>
        <w:tc>
          <w:tcPr>
            <w:tcW w:w="1927" w:type="dxa"/>
            <w:tcBorders>
              <w:start w:val="single" w:sz="4" w:space="0" w:color="000000"/>
              <w:bottom w:val="single" w:sz="4" w:space="0" w:color="000000"/>
            </w:tcBorders>
          </w:tcPr>
          <w:p>
            <w:pPr>
              <w:pStyle w:val="TableContents"/>
              <w:bidi w:val="0"/>
              <w:jc w:val="start"/>
              <w:rPr/>
            </w:pPr>
            <w:r>
              <w:rPr/>
              <w:t>Ad account</w:t>
            </w:r>
          </w:p>
        </w:tc>
        <w:tc>
          <w:tcPr>
            <w:tcW w:w="1928" w:type="dxa"/>
            <w:tcBorders>
              <w:start w:val="single" w:sz="4" w:space="0" w:color="000000"/>
              <w:bottom w:val="single" w:sz="4" w:space="0" w:color="000000"/>
            </w:tcBorders>
          </w:tcPr>
          <w:p>
            <w:pPr>
              <w:pStyle w:val="TableContents"/>
              <w:bidi w:val="0"/>
              <w:jc w:val="start"/>
              <w:rPr/>
            </w:pPr>
            <w:r>
              <w:rPr/>
              <w:t>Advertiser-level business entity under an organization. Owns campaigns, creatives, audiences, pixels, and app trackers.</w:t>
            </w:r>
          </w:p>
        </w:tc>
        <w:tc>
          <w:tcPr>
            <w:tcW w:w="1927" w:type="dxa"/>
            <w:tcBorders>
              <w:start w:val="single" w:sz="4" w:space="0" w:color="000000"/>
              <w:bottom w:val="single" w:sz="4" w:space="0" w:color="000000"/>
            </w:tcBorders>
          </w:tcPr>
          <w:p>
            <w:pPr>
              <w:pStyle w:val="TableContents"/>
              <w:bidi w:val="0"/>
              <w:jc w:val="start"/>
              <w:rPr/>
            </w:pPr>
            <w:r>
              <w:rPr/>
              <w:t>Beeswax advertiser</w:t>
            </w:r>
          </w:p>
        </w:tc>
        <w:tc>
          <w:tcPr>
            <w:tcW w:w="1928" w:type="dxa"/>
            <w:tcBorders>
              <w:start w:val="single" w:sz="4" w:space="0" w:color="000000"/>
              <w:bottom w:val="single" w:sz="4" w:space="0" w:color="000000"/>
            </w:tcBorders>
          </w:tcPr>
          <w:p>
            <w:pPr>
              <w:pStyle w:val="TableContents"/>
              <w:bidi w:val="0"/>
              <w:jc w:val="start"/>
              <w:rPr/>
            </w:pPr>
            <w:r>
              <w:rPr/>
              <w:t>Yes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Main advertiser container for campaign execution and reporting joins.</w:t>
            </w:r>
          </w:p>
        </w:tc>
      </w:tr>
      <w:tr>
        <w:trPr/>
        <w:tc>
          <w:tcPr>
            <w:tcW w:w="1927" w:type="dxa"/>
            <w:tcBorders>
              <w:start w:val="single" w:sz="4" w:space="0" w:color="000000"/>
              <w:bottom w:val="single" w:sz="4" w:space="0" w:color="000000"/>
            </w:tcBorders>
          </w:tcPr>
          <w:p>
            <w:pPr>
              <w:pStyle w:val="TableContents"/>
              <w:bidi w:val="0"/>
              <w:jc w:val="start"/>
              <w:rPr/>
            </w:pPr>
            <w:r>
              <w:rPr/>
              <w:t>Campaign</w:t>
            </w:r>
          </w:p>
        </w:tc>
        <w:tc>
          <w:tcPr>
            <w:tcW w:w="1928" w:type="dxa"/>
            <w:tcBorders>
              <w:start w:val="single" w:sz="4" w:space="0" w:color="000000"/>
              <w:bottom w:val="single" w:sz="4" w:space="0" w:color="000000"/>
            </w:tcBorders>
          </w:tcPr>
          <w:p>
            <w:pPr>
              <w:pStyle w:val="TableContents"/>
              <w:bidi w:val="0"/>
              <w:jc w:val="start"/>
              <w:rPr/>
            </w:pPr>
            <w:r>
              <w:rPr/>
              <w:t>Top-level advertising container that defines budget, objective, and flight dates. Parent of ad sets.</w:t>
            </w:r>
          </w:p>
        </w:tc>
        <w:tc>
          <w:tcPr>
            <w:tcW w:w="1927" w:type="dxa"/>
            <w:tcBorders>
              <w:start w:val="single" w:sz="4" w:space="0" w:color="000000"/>
              <w:bottom w:val="single" w:sz="4" w:space="0" w:color="000000"/>
            </w:tcBorders>
          </w:tcPr>
          <w:p>
            <w:pPr>
              <w:pStyle w:val="TableContents"/>
              <w:bidi w:val="0"/>
              <w:jc w:val="start"/>
              <w:rPr/>
            </w:pPr>
            <w:r>
              <w:rPr/>
              <w:t>Beeswax campaign</w:t>
            </w:r>
          </w:p>
        </w:tc>
        <w:tc>
          <w:tcPr>
            <w:tcW w:w="1928" w:type="dxa"/>
            <w:tcBorders>
              <w:start w:val="single" w:sz="4" w:space="0" w:color="000000"/>
              <w:bottom w:val="single" w:sz="4" w:space="0" w:color="000000"/>
            </w:tcBorders>
          </w:tcPr>
          <w:p>
            <w:pPr>
              <w:pStyle w:val="TableContents"/>
              <w:bidi w:val="0"/>
              <w:jc w:val="start"/>
              <w:rPr/>
            </w:pPr>
            <w:r>
              <w:rPr/>
              <w:t>Yes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Campaign objective and flight settings influence child ad set behavior.</w:t>
            </w:r>
          </w:p>
        </w:tc>
      </w:tr>
      <w:tr>
        <w:trPr/>
        <w:tc>
          <w:tcPr>
            <w:tcW w:w="1927" w:type="dxa"/>
            <w:tcBorders>
              <w:start w:val="single" w:sz="4" w:space="0" w:color="000000"/>
              <w:bottom w:val="single" w:sz="4" w:space="0" w:color="000000"/>
            </w:tcBorders>
          </w:tcPr>
          <w:p>
            <w:pPr>
              <w:pStyle w:val="TableContents"/>
              <w:bidi w:val="0"/>
              <w:jc w:val="start"/>
              <w:rPr/>
            </w:pPr>
            <w:r>
              <w:rPr/>
              <w:t>Ad set</w:t>
            </w:r>
          </w:p>
        </w:tc>
        <w:tc>
          <w:tcPr>
            <w:tcW w:w="1928" w:type="dxa"/>
            <w:tcBorders>
              <w:start w:val="single" w:sz="4" w:space="0" w:color="000000"/>
              <w:bottom w:val="single" w:sz="4" w:space="0" w:color="000000"/>
            </w:tcBorders>
          </w:tcPr>
          <w:p>
            <w:pPr>
              <w:pStyle w:val="TableContents"/>
              <w:bidi w:val="0"/>
              <w:jc w:val="start"/>
              <w:rPr/>
            </w:pPr>
            <w:r>
              <w:rPr/>
              <w:t>Child of campaign that defines targeting, pacing, budget behavior, placement selection, inventory, bid settings, and tracking associations.</w:t>
            </w:r>
          </w:p>
        </w:tc>
        <w:tc>
          <w:tcPr>
            <w:tcW w:w="1927" w:type="dxa"/>
            <w:tcBorders>
              <w:start w:val="single" w:sz="4" w:space="0" w:color="000000"/>
              <w:bottom w:val="single" w:sz="4" w:space="0" w:color="000000"/>
            </w:tcBorders>
          </w:tcPr>
          <w:p>
            <w:pPr>
              <w:pStyle w:val="TableContents"/>
              <w:bidi w:val="0"/>
              <w:jc w:val="start"/>
              <w:rPr/>
            </w:pPr>
            <w:r>
              <w:rPr/>
              <w:t>Beeswax line item, targeting, event association</w:t>
            </w:r>
          </w:p>
        </w:tc>
        <w:tc>
          <w:tcPr>
            <w:tcW w:w="1928" w:type="dxa"/>
            <w:tcBorders>
              <w:start w:val="single" w:sz="4" w:space="0" w:color="000000"/>
              <w:bottom w:val="single" w:sz="4" w:space="0" w:color="000000"/>
            </w:tcBorders>
          </w:tcPr>
          <w:p>
            <w:pPr>
              <w:pStyle w:val="TableContents"/>
              <w:bidi w:val="0"/>
              <w:jc w:val="start"/>
              <w:rPr/>
            </w:pPr>
            <w:r>
              <w:rPr/>
              <w:t>Yes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 single UA ad set maps to multiple Beeswax concepts and is the central object for delivery configuration.</w:t>
            </w:r>
          </w:p>
        </w:tc>
      </w:tr>
      <w:tr>
        <w:trPr/>
        <w:tc>
          <w:tcPr>
            <w:tcW w:w="1927" w:type="dxa"/>
            <w:tcBorders>
              <w:start w:val="single" w:sz="4" w:space="0" w:color="000000"/>
              <w:bottom w:val="single" w:sz="4" w:space="0" w:color="000000"/>
            </w:tcBorders>
          </w:tcPr>
          <w:p>
            <w:pPr>
              <w:pStyle w:val="TableContents"/>
              <w:bidi w:val="0"/>
              <w:jc w:val="start"/>
              <w:rPr/>
            </w:pPr>
            <w:r>
              <w:rPr/>
              <w:t>Ad</w:t>
            </w:r>
          </w:p>
        </w:tc>
        <w:tc>
          <w:tcPr>
            <w:tcW w:w="1928" w:type="dxa"/>
            <w:tcBorders>
              <w:start w:val="single" w:sz="4" w:space="0" w:color="000000"/>
              <w:bottom w:val="single" w:sz="4" w:space="0" w:color="000000"/>
            </w:tcBorders>
          </w:tcPr>
          <w:p>
            <w:pPr>
              <w:pStyle w:val="TableContents"/>
              <w:bidi w:val="0"/>
              <w:jc w:val="start"/>
              <w:rPr/>
            </w:pPr>
            <w:r>
              <w:rPr/>
              <w:t>Delivery object that ties a creative to an ad set.</w:t>
            </w:r>
          </w:p>
        </w:tc>
        <w:tc>
          <w:tcPr>
            <w:tcW w:w="1927" w:type="dxa"/>
            <w:tcBorders>
              <w:start w:val="single" w:sz="4" w:space="0" w:color="000000"/>
              <w:bottom w:val="single" w:sz="4" w:space="0" w:color="000000"/>
            </w:tcBorders>
          </w:tcPr>
          <w:p>
            <w:pPr>
              <w:pStyle w:val="TableContents"/>
              <w:bidi w:val="0"/>
              <w:jc w:val="start"/>
              <w:rPr/>
            </w:pPr>
            <w:r>
              <w:rPr/>
              <w:t>Beeswax creative, creative-line-item association</w:t>
            </w:r>
          </w:p>
        </w:tc>
        <w:tc>
          <w:tcPr>
            <w:tcW w:w="1928" w:type="dxa"/>
            <w:tcBorders>
              <w:start w:val="single" w:sz="4" w:space="0" w:color="000000"/>
              <w:bottom w:val="single" w:sz="4" w:space="0" w:color="000000"/>
            </w:tcBorders>
          </w:tcPr>
          <w:p>
            <w:pPr>
              <w:pStyle w:val="TableContents"/>
              <w:bidi w:val="0"/>
              <w:jc w:val="start"/>
              <w:rPr/>
            </w:pPr>
            <w:r>
              <w:rPr/>
              <w:t>Yes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Distinct from creative. Ad status and creative status both matter for delivery context.</w:t>
            </w:r>
          </w:p>
        </w:tc>
      </w:tr>
      <w:tr>
        <w:trPr/>
        <w:tc>
          <w:tcPr>
            <w:tcW w:w="1927" w:type="dxa"/>
            <w:tcBorders>
              <w:start w:val="single" w:sz="4" w:space="0" w:color="000000"/>
              <w:bottom w:val="single" w:sz="4" w:space="0" w:color="000000"/>
            </w:tcBorders>
          </w:tcPr>
          <w:p>
            <w:pPr>
              <w:pStyle w:val="TableContents"/>
              <w:bidi w:val="0"/>
              <w:jc w:val="start"/>
              <w:rPr/>
            </w:pPr>
            <w:r>
              <w:rPr/>
              <w:t>Creative</w:t>
            </w:r>
          </w:p>
        </w:tc>
        <w:tc>
          <w:tcPr>
            <w:tcW w:w="1928" w:type="dxa"/>
            <w:tcBorders>
              <w:start w:val="single" w:sz="4" w:space="0" w:color="000000"/>
              <w:bottom w:val="single" w:sz="4" w:space="0" w:color="000000"/>
            </w:tcBorders>
          </w:tcPr>
          <w:p>
            <w:pPr>
              <w:pStyle w:val="TableContents"/>
              <w:bidi w:val="0"/>
              <w:jc w:val="start"/>
              <w:rPr/>
            </w:pPr>
            <w:r>
              <w:rPr/>
              <w:t>Reusable ad-serving asset wrapper used by ads.</w:t>
            </w:r>
          </w:p>
        </w:tc>
        <w:tc>
          <w:tcPr>
            <w:tcW w:w="1927" w:type="dxa"/>
            <w:tcBorders>
              <w:start w:val="single" w:sz="4" w:space="0" w:color="000000"/>
              <w:bottom w:val="single" w:sz="4" w:space="0" w:color="000000"/>
            </w:tcBorders>
          </w:tcPr>
          <w:p>
            <w:pPr>
              <w:pStyle w:val="TableContents"/>
              <w:bidi w:val="0"/>
              <w:jc w:val="start"/>
              <w:rPr/>
            </w:pPr>
            <w:r>
              <w:rPr/>
              <w:t>Beeswax creative asset</w:t>
            </w:r>
          </w:p>
        </w:tc>
        <w:tc>
          <w:tcPr>
            <w:tcW w:w="1928" w:type="dxa"/>
            <w:tcBorders>
              <w:start w:val="single" w:sz="4" w:space="0" w:color="000000"/>
              <w:bottom w:val="single" w:sz="4" w:space="0" w:color="000000"/>
            </w:tcBorders>
          </w:tcPr>
          <w:p>
            <w:pPr>
              <w:pStyle w:val="TableContents"/>
              <w:bidi w:val="0"/>
              <w:jc w:val="start"/>
              <w:rPr/>
            </w:pPr>
            <w:r>
              <w:rPr/>
              <w:t>Yes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Creative encoding, processing, and approval are separate from raw media upload.</w:t>
            </w:r>
          </w:p>
        </w:tc>
      </w:tr>
      <w:tr>
        <w:trPr/>
        <w:tc>
          <w:tcPr>
            <w:tcW w:w="1927" w:type="dxa"/>
            <w:tcBorders>
              <w:start w:val="single" w:sz="4" w:space="0" w:color="000000"/>
              <w:bottom w:val="single" w:sz="4" w:space="0" w:color="000000"/>
            </w:tcBorders>
          </w:tcPr>
          <w:p>
            <w:pPr>
              <w:pStyle w:val="TableContents"/>
              <w:bidi w:val="0"/>
              <w:jc w:val="start"/>
              <w:rPr/>
            </w:pPr>
            <w:r>
              <w:rPr/>
              <w:t>Media</w:t>
            </w:r>
          </w:p>
        </w:tc>
        <w:tc>
          <w:tcPr>
            <w:tcW w:w="1928" w:type="dxa"/>
            <w:tcBorders>
              <w:start w:val="single" w:sz="4" w:space="0" w:color="000000"/>
              <w:bottom w:val="single" w:sz="4" w:space="0" w:color="000000"/>
            </w:tcBorders>
          </w:tcPr>
          <w:p>
            <w:pPr>
              <w:pStyle w:val="TableContents"/>
              <w:bidi w:val="0"/>
              <w:jc w:val="start"/>
              <w:rPr/>
            </w:pPr>
            <w:r>
              <w:rPr/>
              <w:t>Raw uploaded file used by creative and audience workflows.</w:t>
            </w:r>
          </w:p>
        </w:tc>
        <w:tc>
          <w:tcPr>
            <w:tcW w:w="1927" w:type="dxa"/>
            <w:tcBorders>
              <w:start w:val="single" w:sz="4" w:space="0" w:color="000000"/>
              <w:bottom w:val="single" w:sz="4" w:space="0" w:color="000000"/>
            </w:tcBorders>
          </w:tcPr>
          <w:p>
            <w:pPr>
              <w:pStyle w:val="TableContents"/>
              <w:bidi w:val="0"/>
              <w:jc w:val="start"/>
              <w:rPr/>
            </w:pPr>
            <w:r>
              <w:rPr/>
              <w:t>None</w:t>
            </w:r>
          </w:p>
        </w:tc>
        <w:tc>
          <w:tcPr>
            <w:tcW w:w="1928" w:type="dxa"/>
            <w:tcBorders>
              <w:start w:val="single" w:sz="4" w:space="0" w:color="000000"/>
              <w:bottom w:val="single" w:sz="4" w:space="0" w:color="000000"/>
            </w:tcBorders>
          </w:tcPr>
          <w:p>
            <w:pPr>
              <w:pStyle w:val="TableContents"/>
              <w:bidi w:val="0"/>
              <w:jc w:val="start"/>
              <w:rPr/>
            </w:pPr>
            <w:r>
              <w:rPr/>
              <w:t>No</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Supporting object only. Media is not itself a Beeswax delivery object.</w:t>
            </w:r>
          </w:p>
        </w:tc>
      </w:tr>
      <w:tr>
        <w:trPr/>
        <w:tc>
          <w:tcPr>
            <w:tcW w:w="1927" w:type="dxa"/>
            <w:tcBorders>
              <w:start w:val="single" w:sz="4" w:space="0" w:color="000000"/>
              <w:bottom w:val="single" w:sz="4" w:space="0" w:color="000000"/>
            </w:tcBorders>
          </w:tcPr>
          <w:p>
            <w:pPr>
              <w:pStyle w:val="TableContents"/>
              <w:bidi w:val="0"/>
              <w:jc w:val="start"/>
              <w:rPr/>
            </w:pPr>
            <w:r>
              <w:rPr/>
              <w:t>Network</w:t>
            </w:r>
          </w:p>
        </w:tc>
        <w:tc>
          <w:tcPr>
            <w:tcW w:w="1928" w:type="dxa"/>
            <w:tcBorders>
              <w:start w:val="single" w:sz="4" w:space="0" w:color="000000"/>
              <w:bottom w:val="single" w:sz="4" w:space="0" w:color="000000"/>
            </w:tcBorders>
          </w:tcPr>
          <w:p>
            <w:pPr>
              <w:pStyle w:val="TableContents"/>
              <w:bidi w:val="0"/>
              <w:jc w:val="start"/>
              <w:rPr/>
            </w:pPr>
            <w:r>
              <w:rPr/>
              <w:t>UA inventory grouping representing a publisher, partner, owned-and-operated group, or event-based inventory group.</w:t>
            </w:r>
          </w:p>
        </w:tc>
        <w:tc>
          <w:tcPr>
            <w:tcW w:w="1927" w:type="dxa"/>
            <w:tcBorders>
              <w:start w:val="single" w:sz="4" w:space="0" w:color="000000"/>
              <w:bottom w:val="single" w:sz="4" w:space="0" w:color="000000"/>
            </w:tcBorders>
          </w:tcPr>
          <w:p>
            <w:pPr>
              <w:pStyle w:val="TableContents"/>
              <w:bidi w:val="0"/>
              <w:jc w:val="start"/>
              <w:rPr/>
            </w:pPr>
            <w:r>
              <w:rPr/>
              <w:t>Expressed through downstream delivery and targeting configuration</w:t>
            </w:r>
          </w:p>
        </w:tc>
        <w:tc>
          <w:tcPr>
            <w:tcW w:w="1928" w:type="dxa"/>
            <w:tcBorders>
              <w:start w:val="single" w:sz="4" w:space="0" w:color="000000"/>
              <w:bottom w:val="single" w:sz="4" w:space="0" w:color="000000"/>
            </w:tcBorders>
          </w:tcPr>
          <w:p>
            <w:pPr>
              <w:pStyle w:val="TableContents"/>
              <w:bidi w:val="0"/>
              <w:jc w:val="start"/>
              <w:rPr/>
            </w:pPr>
            <w:r>
              <w:rPr/>
              <w:t>Yes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Network controls inventory availability and placement behavior.</w:t>
            </w:r>
          </w:p>
        </w:tc>
      </w:tr>
      <w:tr>
        <w:trPr/>
        <w:tc>
          <w:tcPr>
            <w:tcW w:w="1927" w:type="dxa"/>
            <w:tcBorders>
              <w:start w:val="single" w:sz="4" w:space="0" w:color="000000"/>
              <w:bottom w:val="single" w:sz="4" w:space="0" w:color="000000"/>
            </w:tcBorders>
          </w:tcPr>
          <w:p>
            <w:pPr>
              <w:pStyle w:val="TableContents"/>
              <w:bidi w:val="0"/>
              <w:jc w:val="start"/>
              <w:rPr/>
            </w:pPr>
            <w:r>
              <w:rPr/>
              <w:t>Placement</w:t>
            </w:r>
          </w:p>
        </w:tc>
        <w:tc>
          <w:tcPr>
            <w:tcW w:w="1928" w:type="dxa"/>
            <w:tcBorders>
              <w:start w:val="single" w:sz="4" w:space="0" w:color="000000"/>
              <w:bottom w:val="single" w:sz="4" w:space="0" w:color="000000"/>
            </w:tcBorders>
          </w:tcPr>
          <w:p>
            <w:pPr>
              <w:pStyle w:val="TableContents"/>
              <w:bidi w:val="0"/>
              <w:jc w:val="start"/>
              <w:rPr/>
            </w:pPr>
            <w:r>
              <w:rPr/>
              <w:t>Targetable inventory grouping beneath a network.</w:t>
            </w:r>
          </w:p>
        </w:tc>
        <w:tc>
          <w:tcPr>
            <w:tcW w:w="1927" w:type="dxa"/>
            <w:tcBorders>
              <w:start w:val="single" w:sz="4" w:space="0" w:color="000000"/>
              <w:bottom w:val="single" w:sz="4" w:space="0" w:color="000000"/>
            </w:tcBorders>
          </w:tcPr>
          <w:p>
            <w:pPr>
              <w:pStyle w:val="TableContents"/>
              <w:bidi w:val="0"/>
              <w:jc w:val="start"/>
              <w:rPr/>
            </w:pPr>
            <w:r>
              <w:rPr/>
              <w:t>Beeswax deal ID</w:t>
            </w:r>
          </w:p>
        </w:tc>
        <w:tc>
          <w:tcPr>
            <w:tcW w:w="1928" w:type="dxa"/>
            <w:tcBorders>
              <w:start w:val="single" w:sz="4" w:space="0" w:color="000000"/>
              <w:bottom w:val="single" w:sz="4" w:space="0" w:color="000000"/>
            </w:tcBorders>
          </w:tcPr>
          <w:p>
            <w:pPr>
              <w:pStyle w:val="TableContents"/>
              <w:bidi w:val="0"/>
              <w:jc w:val="start"/>
              <w:rPr/>
            </w:pPr>
            <w:r>
              <w:rPr/>
              <w:t>Yes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Every network has an automatic placement. Some networks also support additional placements.</w:t>
            </w:r>
          </w:p>
        </w:tc>
      </w:tr>
      <w:tr>
        <w:trPr/>
        <w:tc>
          <w:tcPr>
            <w:tcW w:w="1927" w:type="dxa"/>
            <w:tcBorders>
              <w:start w:val="single" w:sz="4" w:space="0" w:color="000000"/>
              <w:bottom w:val="single" w:sz="4" w:space="0" w:color="000000"/>
            </w:tcBorders>
          </w:tcPr>
          <w:p>
            <w:pPr>
              <w:pStyle w:val="TableContents"/>
              <w:bidi w:val="0"/>
              <w:jc w:val="start"/>
              <w:rPr/>
            </w:pPr>
            <w:r>
              <w:rPr/>
              <w:t>Genre</w:t>
            </w:r>
          </w:p>
        </w:tc>
        <w:tc>
          <w:tcPr>
            <w:tcW w:w="1928" w:type="dxa"/>
            <w:tcBorders>
              <w:start w:val="single" w:sz="4" w:space="0" w:color="000000"/>
              <w:bottom w:val="single" w:sz="4" w:space="0" w:color="000000"/>
            </w:tcBorders>
          </w:tcPr>
          <w:p>
            <w:pPr>
              <w:pStyle w:val="TableContents"/>
              <w:bidi w:val="0"/>
              <w:jc w:val="start"/>
              <w:rPr/>
            </w:pPr>
            <w:r>
              <w:rPr/>
              <w:t>Content grouping used to narrow delivery based on content type.</w:t>
            </w:r>
          </w:p>
        </w:tc>
        <w:tc>
          <w:tcPr>
            <w:tcW w:w="1927" w:type="dxa"/>
            <w:tcBorders>
              <w:start w:val="single" w:sz="4" w:space="0" w:color="000000"/>
              <w:bottom w:val="single" w:sz="4" w:space="0" w:color="000000"/>
            </w:tcBorders>
          </w:tcPr>
          <w:p>
            <w:pPr>
              <w:pStyle w:val="TableContents"/>
              <w:bidi w:val="0"/>
              <w:jc w:val="start"/>
              <w:rPr/>
            </w:pPr>
            <w:r>
              <w:rPr/>
              <w:t>Beeswax content genre</w:t>
            </w:r>
          </w:p>
        </w:tc>
        <w:tc>
          <w:tcPr>
            <w:tcW w:w="1928" w:type="dxa"/>
            <w:tcBorders>
              <w:start w:val="single" w:sz="4" w:space="0" w:color="000000"/>
              <w:bottom w:val="single" w:sz="4" w:space="0" w:color="000000"/>
            </w:tcBorders>
          </w:tcPr>
          <w:p>
            <w:pPr>
              <w:pStyle w:val="TableContents"/>
              <w:bidi w:val="0"/>
              <w:jc w:val="start"/>
              <w:rPr/>
            </w:pPr>
            <w:r>
              <w:rPr/>
              <w:t>Yes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Network-dependent targeting classification rather than a free-form field.</w:t>
            </w:r>
          </w:p>
        </w:tc>
      </w:tr>
      <w:tr>
        <w:trPr/>
        <w:tc>
          <w:tcPr>
            <w:tcW w:w="1927" w:type="dxa"/>
            <w:tcBorders>
              <w:start w:val="single" w:sz="4" w:space="0" w:color="000000"/>
              <w:bottom w:val="single" w:sz="4" w:space="0" w:color="000000"/>
            </w:tcBorders>
          </w:tcPr>
          <w:p>
            <w:pPr>
              <w:pStyle w:val="TableContents"/>
              <w:bidi w:val="0"/>
              <w:jc w:val="start"/>
              <w:rPr/>
            </w:pPr>
            <w:r>
              <w:rPr/>
              <w:t>Custom segment / audience</w:t>
            </w:r>
          </w:p>
        </w:tc>
        <w:tc>
          <w:tcPr>
            <w:tcW w:w="1928" w:type="dxa"/>
            <w:tcBorders>
              <w:start w:val="single" w:sz="4" w:space="0" w:color="000000"/>
              <w:bottom w:val="single" w:sz="4" w:space="0" w:color="000000"/>
            </w:tcBorders>
          </w:tcPr>
          <w:p>
            <w:pPr>
              <w:pStyle w:val="TableContents"/>
              <w:bidi w:val="0"/>
              <w:jc w:val="start"/>
              <w:rPr/>
            </w:pPr>
            <w:r>
              <w:rPr/>
              <w:t>Audience data used for targeting, such as uploaded hashed emails, IPs, or similar identifiers.</w:t>
            </w:r>
          </w:p>
        </w:tc>
        <w:tc>
          <w:tcPr>
            <w:tcW w:w="1927" w:type="dxa"/>
            <w:tcBorders>
              <w:start w:val="single" w:sz="4" w:space="0" w:color="000000"/>
              <w:bottom w:val="single" w:sz="4" w:space="0" w:color="000000"/>
            </w:tcBorders>
          </w:tcPr>
          <w:p>
            <w:pPr>
              <w:pStyle w:val="TableContents"/>
              <w:bidi w:val="0"/>
              <w:jc w:val="start"/>
              <w:rPr/>
            </w:pPr>
            <w:r>
              <w:rPr/>
              <w:t>Beeswax segment</w:t>
            </w:r>
          </w:p>
        </w:tc>
        <w:tc>
          <w:tcPr>
            <w:tcW w:w="1928" w:type="dxa"/>
            <w:tcBorders>
              <w:start w:val="single" w:sz="4" w:space="0" w:color="000000"/>
              <w:bottom w:val="single" w:sz="4" w:space="0" w:color="000000"/>
            </w:tcBorders>
          </w:tcPr>
          <w:p>
            <w:pPr>
              <w:pStyle w:val="TableContents"/>
              <w:bidi w:val="0"/>
              <w:jc w:val="start"/>
              <w:rPr/>
            </w:pPr>
            <w:r>
              <w:rPr/>
              <w:t>Yes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Processing may take time before a segment becomes eligible for targeting.</w:t>
            </w:r>
          </w:p>
        </w:tc>
      </w:tr>
      <w:tr>
        <w:trPr/>
        <w:tc>
          <w:tcPr>
            <w:tcW w:w="1927" w:type="dxa"/>
            <w:tcBorders>
              <w:start w:val="single" w:sz="4" w:space="0" w:color="000000"/>
              <w:bottom w:val="single" w:sz="4" w:space="0" w:color="000000"/>
            </w:tcBorders>
          </w:tcPr>
          <w:p>
            <w:pPr>
              <w:pStyle w:val="TableContents"/>
              <w:bidi w:val="0"/>
              <w:jc w:val="start"/>
              <w:rPr/>
            </w:pPr>
            <w:r>
              <w:rPr/>
              <w:t>Enhanced pixel</w:t>
            </w:r>
          </w:p>
        </w:tc>
        <w:tc>
          <w:tcPr>
            <w:tcW w:w="1928" w:type="dxa"/>
            <w:tcBorders>
              <w:start w:val="single" w:sz="4" w:space="0" w:color="000000"/>
              <w:bottom w:val="single" w:sz="4" w:space="0" w:color="000000"/>
            </w:tcBorders>
          </w:tcPr>
          <w:p>
            <w:pPr>
              <w:pStyle w:val="TableContents"/>
              <w:bidi w:val="0"/>
              <w:jc w:val="start"/>
              <w:rPr/>
            </w:pPr>
            <w:r>
              <w:rPr/>
              <w:t>Conversion-tracking model used at the ad set level for web/event measurement.</w:t>
            </w:r>
          </w:p>
        </w:tc>
        <w:tc>
          <w:tcPr>
            <w:tcW w:w="1927" w:type="dxa"/>
            <w:tcBorders>
              <w:start w:val="single" w:sz="4" w:space="0" w:color="000000"/>
              <w:bottom w:val="single" w:sz="4" w:space="0" w:color="000000"/>
            </w:tcBorders>
          </w:tcPr>
          <w:p>
            <w:pPr>
              <w:pStyle w:val="TableContents"/>
              <w:bidi w:val="0"/>
              <w:jc w:val="start"/>
              <w:rPr/>
            </w:pPr>
            <w:r>
              <w:rPr/>
              <w:t>None</w:t>
            </w:r>
          </w:p>
        </w:tc>
        <w:tc>
          <w:tcPr>
            <w:tcW w:w="1928" w:type="dxa"/>
            <w:tcBorders>
              <w:start w:val="single" w:sz="4" w:space="0" w:color="000000"/>
              <w:bottom w:val="single" w:sz="4" w:space="0" w:color="000000"/>
            </w:tcBorders>
          </w:tcPr>
          <w:p>
            <w:pPr>
              <w:pStyle w:val="TableContents"/>
              <w:bidi w:val="0"/>
              <w:jc w:val="start"/>
              <w:rPr/>
            </w:pPr>
            <w:r>
              <w:rPr/>
              <w:t>Yes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Used to use the Beeswax pixel, now we leverage Kochava for our web conversion measurement tool.</w:t>
            </w:r>
          </w:p>
        </w:tc>
      </w:tr>
      <w:tr>
        <w:trPr/>
        <w:tc>
          <w:tcPr>
            <w:tcW w:w="1927" w:type="dxa"/>
            <w:tcBorders>
              <w:start w:val="single" w:sz="4" w:space="0" w:color="000000"/>
              <w:bottom w:val="single" w:sz="4" w:space="0" w:color="000000"/>
            </w:tcBorders>
          </w:tcPr>
          <w:p>
            <w:pPr>
              <w:pStyle w:val="TableContents"/>
              <w:bidi w:val="0"/>
              <w:jc w:val="start"/>
              <w:rPr/>
            </w:pPr>
            <w:r>
              <w:rPr/>
              <w:t>App tracker</w:t>
            </w:r>
          </w:p>
        </w:tc>
        <w:tc>
          <w:tcPr>
            <w:tcW w:w="1928" w:type="dxa"/>
            <w:tcBorders>
              <w:start w:val="single" w:sz="4" w:space="0" w:color="000000"/>
              <w:bottom w:val="single" w:sz="4" w:space="0" w:color="000000"/>
            </w:tcBorders>
          </w:tcPr>
          <w:p>
            <w:pPr>
              <w:pStyle w:val="TableContents"/>
              <w:bidi w:val="0"/>
              <w:jc w:val="start"/>
              <w:rPr/>
            </w:pPr>
            <w:r>
              <w:rPr/>
              <w:t>App-promotion tracking model for app metadata, MMP context, app attribution, and app event alignment.</w:t>
            </w:r>
          </w:p>
        </w:tc>
        <w:tc>
          <w:tcPr>
            <w:tcW w:w="1927" w:type="dxa"/>
            <w:tcBorders>
              <w:start w:val="single" w:sz="4" w:space="0" w:color="000000"/>
              <w:bottom w:val="single" w:sz="4" w:space="0" w:color="000000"/>
            </w:tcBorders>
          </w:tcPr>
          <w:p>
            <w:pPr>
              <w:pStyle w:val="TableContents"/>
              <w:bidi w:val="0"/>
              <w:jc w:val="start"/>
              <w:rPr/>
            </w:pPr>
            <w:r>
              <w:rPr/>
              <w:t>External app tracker / attribution provider integration</w:t>
            </w:r>
          </w:p>
        </w:tc>
        <w:tc>
          <w:tcPr>
            <w:tcW w:w="1928" w:type="dxa"/>
            <w:tcBorders>
              <w:start w:val="single" w:sz="4" w:space="0" w:color="000000"/>
              <w:bottom w:val="single" w:sz="4" w:space="0" w:color="000000"/>
            </w:tcBorders>
          </w:tcPr>
          <w:p>
            <w:pPr>
              <w:pStyle w:val="TableContents"/>
              <w:bidi w:val="0"/>
              <w:jc w:val="start"/>
              <w:rPr/>
            </w:pPr>
            <w:r>
              <w:rPr/>
              <w:t>Yes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Distinct from enhanced pixel, we support multiple MMP providers.</w:t>
            </w:r>
          </w:p>
        </w:tc>
      </w:tr>
      <w:tr>
        <w:trPr/>
        <w:tc>
          <w:tcPr>
            <w:tcW w:w="1927" w:type="dxa"/>
            <w:tcBorders>
              <w:start w:val="single" w:sz="4" w:space="0" w:color="000000"/>
              <w:bottom w:val="single" w:sz="4" w:space="0" w:color="000000"/>
            </w:tcBorders>
          </w:tcPr>
          <w:p>
            <w:pPr>
              <w:pStyle w:val="TableContents"/>
              <w:bidi w:val="0"/>
              <w:jc w:val="start"/>
              <w:rPr/>
            </w:pPr>
            <w:r>
              <w:rPr/>
              <w:t>Conversion aggregates</w:t>
            </w:r>
          </w:p>
        </w:tc>
        <w:tc>
          <w:tcPr>
            <w:tcW w:w="1928" w:type="dxa"/>
            <w:tcBorders>
              <w:start w:val="single" w:sz="4" w:space="0" w:color="000000"/>
              <w:bottom w:val="single" w:sz="4" w:space="0" w:color="000000"/>
            </w:tcBorders>
          </w:tcPr>
          <w:p>
            <w:pPr>
              <w:pStyle w:val="TableContents"/>
              <w:bidi w:val="0"/>
              <w:jc w:val="start"/>
              <w:rPr/>
            </w:pPr>
            <w:r>
              <w:rPr/>
              <w:t>Hourly conversion summaries for pixels, app trackers, and Kochava events.</w:t>
            </w:r>
          </w:p>
        </w:tc>
        <w:tc>
          <w:tcPr>
            <w:tcW w:w="1927" w:type="dxa"/>
            <w:tcBorders>
              <w:start w:val="single" w:sz="4" w:space="0" w:color="000000"/>
              <w:bottom w:val="single" w:sz="4" w:space="0" w:color="000000"/>
            </w:tcBorders>
          </w:tcPr>
          <w:p>
            <w:pPr>
              <w:pStyle w:val="TableContents"/>
              <w:bidi w:val="0"/>
              <w:jc w:val="start"/>
              <w:rPr/>
            </w:pPr>
            <w:r>
              <w:rPr/>
              <w:t>None</w:t>
            </w:r>
          </w:p>
        </w:tc>
        <w:tc>
          <w:tcPr>
            <w:tcW w:w="1928" w:type="dxa"/>
            <w:tcBorders>
              <w:start w:val="single" w:sz="4" w:space="0" w:color="000000"/>
              <w:bottom w:val="single" w:sz="4" w:space="0" w:color="000000"/>
            </w:tcBorders>
          </w:tcPr>
          <w:p>
            <w:pPr>
              <w:pStyle w:val="TableContents"/>
              <w:bidi w:val="0"/>
              <w:jc w:val="start"/>
              <w:rPr/>
            </w:pPr>
            <w:r>
              <w:rPr/>
              <w:t>No</w:t>
            </w:r>
          </w:p>
        </w:tc>
        <w:tc>
          <w:tcPr>
            <w:tcW w:w="1928" w:type="dxa"/>
            <w:tcBorders>
              <w:start w:val="single" w:sz="4" w:space="0" w:color="000000"/>
              <w:bottom w:val="single" w:sz="4" w:space="0" w:color="000000"/>
              <w:end w:val="single" w:sz="4" w:space="0" w:color="000000"/>
            </w:tcBorders>
          </w:tcPr>
          <w:p>
            <w:pPr>
              <w:pStyle w:val="TableContents"/>
              <w:bidi w:val="0"/>
              <w:rPr/>
            </w:pPr>
            <w:r>
              <w:rPr/>
              <w:t xml:space="preserve">Includes </w:t>
            </w:r>
            <w:r>
              <w:rPr>
                <w:rFonts w:ascii="Liberation Mono" w:hAnsi="Liberation Mono"/>
              </w:rPr>
              <w:t>conversion_data</w:t>
            </w:r>
            <w:r>
              <w:rPr/>
              <w:t xml:space="preserve">, </w:t>
            </w:r>
            <w:r>
              <w:rPr>
                <w:rFonts w:ascii="Liberation Mono" w:hAnsi="Liberation Mono"/>
              </w:rPr>
              <w:t>app_events_conversion_data</w:t>
            </w:r>
            <w:r>
              <w:rPr/>
              <w:t xml:space="preserve">, and </w:t>
            </w:r>
            <w:r>
              <w:rPr>
                <w:rFonts w:ascii="Liberation Mono" w:hAnsi="Liberation Mono"/>
              </w:rPr>
              <w:t>kochava_conversion_data</w:t>
            </w:r>
            <w:r>
              <w:rPr/>
              <w:t>.</w:t>
            </w:r>
          </w:p>
        </w:tc>
      </w:tr>
      <w:tr>
        <w:trPr/>
        <w:tc>
          <w:tcPr>
            <w:tcW w:w="1927" w:type="dxa"/>
            <w:tcBorders>
              <w:start w:val="single" w:sz="4" w:space="0" w:color="000000"/>
              <w:bottom w:val="single" w:sz="4" w:space="0" w:color="000000"/>
            </w:tcBorders>
          </w:tcPr>
          <w:p>
            <w:pPr>
              <w:pStyle w:val="TableContents"/>
              <w:bidi w:val="0"/>
              <w:jc w:val="start"/>
              <w:rPr/>
            </w:pPr>
            <w:r>
              <w:rPr/>
              <w:t>Attributed conversion data</w:t>
            </w:r>
          </w:p>
        </w:tc>
        <w:tc>
          <w:tcPr>
            <w:tcW w:w="1928" w:type="dxa"/>
            <w:tcBorders>
              <w:start w:val="single" w:sz="4" w:space="0" w:color="000000"/>
              <w:bottom w:val="single" w:sz="4" w:space="0" w:color="000000"/>
            </w:tcBorders>
          </w:tcPr>
          <w:p>
            <w:pPr>
              <w:pStyle w:val="TableContents"/>
              <w:bidi w:val="0"/>
              <w:jc w:val="start"/>
              <w:rPr/>
            </w:pPr>
            <w:r>
              <w:rPr/>
              <w:t>Conversion events attributed back to ads, creatives, line items, campaigns, pixels, or app trackers.</w:t>
            </w:r>
          </w:p>
        </w:tc>
        <w:tc>
          <w:tcPr>
            <w:tcW w:w="1927" w:type="dxa"/>
            <w:tcBorders>
              <w:start w:val="single" w:sz="4" w:space="0" w:color="000000"/>
              <w:bottom w:val="single" w:sz="4" w:space="0" w:color="000000"/>
            </w:tcBorders>
          </w:tcPr>
          <w:p>
            <w:pPr>
              <w:pStyle w:val="TableContents"/>
              <w:bidi w:val="0"/>
              <w:jc w:val="start"/>
              <w:rPr/>
            </w:pPr>
            <w:r>
              <w:rPr/>
              <w:t>None</w:t>
            </w:r>
          </w:p>
        </w:tc>
        <w:tc>
          <w:tcPr>
            <w:tcW w:w="1928" w:type="dxa"/>
            <w:tcBorders>
              <w:start w:val="single" w:sz="4" w:space="0" w:color="000000"/>
              <w:bottom w:val="single" w:sz="4" w:space="0" w:color="000000"/>
            </w:tcBorders>
          </w:tcPr>
          <w:p>
            <w:pPr>
              <w:pStyle w:val="TableContents"/>
              <w:bidi w:val="0"/>
              <w:jc w:val="start"/>
              <w:rPr/>
            </w:pPr>
            <w:r>
              <w:rPr/>
              <w:t>Yes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Includes raw and aggregated attribution datasets across web, app, and Kochava workflows.</w:t>
            </w:r>
          </w:p>
        </w:tc>
      </w:tr>
      <w:tr>
        <w:trPr/>
        <w:tc>
          <w:tcPr>
            <w:tcW w:w="1927" w:type="dxa"/>
            <w:tcBorders>
              <w:start w:val="single" w:sz="4" w:space="0" w:color="000000"/>
              <w:bottom w:val="single" w:sz="4" w:space="0" w:color="000000"/>
            </w:tcBorders>
          </w:tcPr>
          <w:p>
            <w:pPr>
              <w:pStyle w:val="TableContents"/>
              <w:bidi w:val="0"/>
              <w:jc w:val="start"/>
              <w:rPr/>
            </w:pPr>
            <w:r>
              <w:rPr/>
              <w:t>Raw Beeswax delivery / win logs</w:t>
            </w:r>
          </w:p>
        </w:tc>
        <w:tc>
          <w:tcPr>
            <w:tcW w:w="1928" w:type="dxa"/>
            <w:tcBorders>
              <w:start w:val="single" w:sz="4" w:space="0" w:color="000000"/>
              <w:bottom w:val="single" w:sz="4" w:space="0" w:color="000000"/>
            </w:tcBorders>
          </w:tcPr>
          <w:p>
            <w:pPr>
              <w:pStyle w:val="TableContents"/>
              <w:bidi w:val="0"/>
              <w:jc w:val="start"/>
              <w:rPr/>
            </w:pPr>
            <w:r>
              <w:rPr/>
              <w:t>Lower-level auction and win-event data containing delivery context, bid details, cost, supply, user/device, content, and outcome fields.</w:t>
            </w:r>
          </w:p>
        </w:tc>
        <w:tc>
          <w:tcPr>
            <w:tcW w:w="1927" w:type="dxa"/>
            <w:tcBorders>
              <w:start w:val="single" w:sz="4" w:space="0" w:color="000000"/>
              <w:bottom w:val="single" w:sz="4" w:space="0" w:color="000000"/>
            </w:tcBorders>
          </w:tcPr>
          <w:p>
            <w:pPr>
              <w:pStyle w:val="TableContents"/>
              <w:bidi w:val="0"/>
              <w:jc w:val="start"/>
              <w:rPr/>
            </w:pPr>
            <w:r>
              <w:rPr/>
              <w:t>Beeswax batched and streamed log</w:t>
            </w:r>
          </w:p>
        </w:tc>
        <w:tc>
          <w:tcPr>
            <w:tcW w:w="1928" w:type="dxa"/>
            <w:tcBorders>
              <w:start w:val="single" w:sz="4" w:space="0" w:color="000000"/>
              <w:bottom w:val="single" w:sz="4" w:space="0" w:color="000000"/>
            </w:tcBorders>
          </w:tcPr>
          <w:p>
            <w:pPr>
              <w:pStyle w:val="TableContents"/>
              <w:bidi w:val="0"/>
              <w:jc w:val="start"/>
              <w:rPr/>
            </w:pPr>
            <w:r>
              <w:rPr/>
              <w:t>No</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Raw Beeswax delivery/win-log data is stored in S3; upstream schema details are available in the Beeswax data schema docs.</w:t>
            </w:r>
          </w:p>
        </w:tc>
      </w:tr>
      <w:tr>
        <w:trPr/>
        <w:tc>
          <w:tcPr>
            <w:tcW w:w="1927" w:type="dxa"/>
            <w:tcBorders>
              <w:start w:val="single" w:sz="4" w:space="0" w:color="000000"/>
              <w:bottom w:val="single" w:sz="4" w:space="0" w:color="000000"/>
            </w:tcBorders>
          </w:tcPr>
          <w:p>
            <w:pPr>
              <w:pStyle w:val="TableContents"/>
              <w:bidi w:val="0"/>
              <w:jc w:val="start"/>
              <w:rPr/>
            </w:pPr>
            <w:r>
              <w:rPr/>
              <w:t>Raw conversion data</w:t>
            </w:r>
          </w:p>
        </w:tc>
        <w:tc>
          <w:tcPr>
            <w:tcW w:w="1928" w:type="dxa"/>
            <w:tcBorders>
              <w:start w:val="single" w:sz="4" w:space="0" w:color="000000"/>
              <w:bottom w:val="single" w:sz="4" w:space="0" w:color="000000"/>
            </w:tcBorders>
          </w:tcPr>
          <w:p>
            <w:pPr>
              <w:pStyle w:val="TableContents"/>
              <w:bidi w:val="0"/>
              <w:jc w:val="start"/>
              <w:rPr/>
            </w:pPr>
            <w:r>
              <w:rPr/>
              <w:t>Lower-level conversion/event source data used to build aggregates and attribution outputs.</w:t>
            </w:r>
          </w:p>
        </w:tc>
        <w:tc>
          <w:tcPr>
            <w:tcW w:w="1927" w:type="dxa"/>
            <w:tcBorders>
              <w:start w:val="single" w:sz="4" w:space="0" w:color="000000"/>
              <w:bottom w:val="single" w:sz="4" w:space="0" w:color="000000"/>
            </w:tcBorders>
          </w:tcPr>
          <w:p>
            <w:pPr>
              <w:pStyle w:val="TableContents"/>
              <w:bidi w:val="0"/>
              <w:jc w:val="start"/>
              <w:rPr/>
            </w:pPr>
            <w:r>
              <w:rPr/>
              <w:t>Conversion providers, Kochava, app-event sources</w:t>
            </w:r>
          </w:p>
        </w:tc>
        <w:tc>
          <w:tcPr>
            <w:tcW w:w="1928" w:type="dxa"/>
            <w:tcBorders>
              <w:start w:val="single" w:sz="4" w:space="0" w:color="000000"/>
              <w:bottom w:val="single" w:sz="4" w:space="0" w:color="000000"/>
            </w:tcBorders>
          </w:tcPr>
          <w:p>
            <w:pPr>
              <w:pStyle w:val="TableContents"/>
              <w:bidi w:val="0"/>
              <w:jc w:val="start"/>
              <w:rPr/>
            </w:pPr>
            <w:r>
              <w:rPr/>
              <w:t>No</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Raw conversion data is stored in S3; deeper storage and transformation details live in the separate data and pipeline docs.</w:t>
            </w:r>
          </w:p>
        </w:tc>
      </w:tr>
    </w:tbl>
    <w:p>
      <w:pPr>
        <w:pStyle w:val="BodyText"/>
        <w:bidi w:val="0"/>
        <w:rPr/>
      </w:pPr>
      <w:r>
        <w:rPr/>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