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D9" w:rsidRPr="00D6234D" w:rsidRDefault="00D6234D" w:rsidP="00D6234D">
      <w:pPr>
        <w:jc w:val="center"/>
        <w:rPr>
          <w:u w:val="single"/>
        </w:rPr>
      </w:pPr>
      <w:r w:rsidRPr="00D6234D">
        <w:rPr>
          <w:u w:val="single"/>
        </w:rPr>
        <w:t>Transformação Digital XY</w:t>
      </w:r>
      <w:r>
        <w:rPr>
          <w:u w:val="single"/>
        </w:rPr>
        <w:t xml:space="preserve"> (Ir ou não para a Nuvem?)</w:t>
      </w:r>
    </w:p>
    <w:p w:rsidR="003A252B" w:rsidRDefault="003A252B" w:rsidP="003A252B">
      <w:pPr>
        <w:ind w:firstLine="360"/>
        <w:jc w:val="both"/>
      </w:pPr>
      <w:r>
        <w:t>Avaliando as melhores práticas de mercado</w:t>
      </w:r>
      <w:r>
        <w:t xml:space="preserve"> bem como as necessidades de evolução do segmento</w:t>
      </w:r>
      <w:r>
        <w:t xml:space="preserve">, o time de arquitetura conseguiu avaliar que </w:t>
      </w:r>
      <w:r w:rsidR="006F642C">
        <w:t xml:space="preserve">o melhor caminho a seguir, é </w:t>
      </w:r>
      <w:r>
        <w:t>a utilização de uma solução privada</w:t>
      </w:r>
      <w:r w:rsidR="00A33E60">
        <w:t xml:space="preserve"> (uso exclusivo da</w:t>
      </w:r>
      <w:r w:rsidR="00A33E60">
        <w:t xml:space="preserve"> nossa organização</w:t>
      </w:r>
      <w:r w:rsidR="00A33E60">
        <w:t>)</w:t>
      </w:r>
      <w:r>
        <w:t xml:space="preserve"> de computação em nuvem. Com isso, em um estudo prévio, já há uma estimativa de otimização de recursos financeiros e de infraestrutura de TI.</w:t>
      </w:r>
    </w:p>
    <w:p w:rsidR="00D6234D" w:rsidRDefault="00D6234D" w:rsidP="003A252B">
      <w:pPr>
        <w:ind w:firstLine="360"/>
        <w:jc w:val="both"/>
      </w:pPr>
      <w:r>
        <w:t xml:space="preserve">Nessa nova rodada do projeto de transformação digital, discutiremos dois </w:t>
      </w:r>
      <w:r w:rsidR="00CC457D">
        <w:t>grandes temores</w:t>
      </w:r>
      <w:r>
        <w:t xml:space="preserve"> levantados em nossa última reunião, que foram:</w:t>
      </w:r>
    </w:p>
    <w:p w:rsidR="00D6234D" w:rsidRDefault="00CC457D" w:rsidP="003A252B">
      <w:pPr>
        <w:pStyle w:val="PargrafodaLista"/>
        <w:numPr>
          <w:ilvl w:val="0"/>
          <w:numId w:val="8"/>
        </w:numPr>
        <w:jc w:val="both"/>
      </w:pPr>
      <w:r>
        <w:t>C</w:t>
      </w:r>
      <w:r w:rsidR="00D6234D" w:rsidRPr="00D6234D">
        <w:t xml:space="preserve">ompartilhamento indesejado de dados sensíveis </w:t>
      </w:r>
      <w:r w:rsidR="000B2415">
        <w:t>(</w:t>
      </w:r>
      <w:r w:rsidR="00D6234D" w:rsidRPr="00D6234D">
        <w:t>com outras empresas ou pessoas</w:t>
      </w:r>
      <w:r w:rsidR="000B2415">
        <w:t>)</w:t>
      </w:r>
    </w:p>
    <w:p w:rsidR="00744240" w:rsidRDefault="00744240" w:rsidP="003A252B">
      <w:pPr>
        <w:pStyle w:val="PargrafodaLista"/>
        <w:numPr>
          <w:ilvl w:val="0"/>
          <w:numId w:val="8"/>
        </w:numPr>
        <w:jc w:val="both"/>
      </w:pPr>
      <w:r>
        <w:t>Retorno sobre o investimento</w:t>
      </w:r>
      <w:r w:rsidR="005D2D9D">
        <w:t xml:space="preserve"> (ROI)</w:t>
      </w:r>
    </w:p>
    <w:p w:rsidR="00545F78" w:rsidRDefault="00545F78" w:rsidP="003A252B">
      <w:pPr>
        <w:ind w:firstLine="360"/>
        <w:jc w:val="both"/>
        <w:rPr>
          <w:b/>
          <w:bCs/>
        </w:rPr>
      </w:pPr>
    </w:p>
    <w:p w:rsidR="00744240" w:rsidRPr="00744240" w:rsidRDefault="00744240" w:rsidP="00A63781">
      <w:pPr>
        <w:jc w:val="both"/>
        <w:rPr>
          <w:b/>
          <w:bCs/>
        </w:rPr>
      </w:pPr>
      <w:r w:rsidRPr="00744240">
        <w:rPr>
          <w:b/>
          <w:bCs/>
        </w:rPr>
        <w:t>Compartilhamento indesejado de dados sensíveis</w:t>
      </w:r>
    </w:p>
    <w:p w:rsidR="00B73F25" w:rsidRDefault="00C623CF" w:rsidP="00A82BF2">
      <w:pPr>
        <w:ind w:firstLine="360"/>
        <w:jc w:val="both"/>
      </w:pPr>
      <w:r>
        <w:t>Impreterivelmente</w:t>
      </w:r>
      <w:r w:rsidR="00270933">
        <w:t xml:space="preserve"> </w:t>
      </w:r>
      <w:r w:rsidR="008748AF">
        <w:t>n</w:t>
      </w:r>
      <w:r w:rsidR="00270933">
        <w:t>a utilização de computação em nuvem,</w:t>
      </w:r>
      <w:r w:rsidR="005574B3">
        <w:t xml:space="preserve"> </w:t>
      </w:r>
      <w:r w:rsidR="001617B4">
        <w:t xml:space="preserve">sempre houve </w:t>
      </w:r>
      <w:r w:rsidR="00270933">
        <w:t>a necessidade de garantirmos a segurança da informação de forma corporativa</w:t>
      </w:r>
      <w:r w:rsidR="001617B4">
        <w:t xml:space="preserve">. Para este projeto, </w:t>
      </w:r>
      <w:r w:rsidR="0009477C">
        <w:t>selecionaremos um fornecedor que</w:t>
      </w:r>
      <w:r w:rsidR="00A12652">
        <w:t xml:space="preserve"> esteja </w:t>
      </w:r>
      <w:r w:rsidR="00A12652">
        <w:rPr>
          <w:i/>
          <w:iCs/>
        </w:rPr>
        <w:t>compliance</w:t>
      </w:r>
      <w:r w:rsidR="00A12652">
        <w:t xml:space="preserve"> </w:t>
      </w:r>
      <w:r w:rsidR="004216EE">
        <w:t xml:space="preserve">com os processos </w:t>
      </w:r>
      <w:r w:rsidR="00ED36D4">
        <w:rPr>
          <w:b/>
          <w:bCs/>
        </w:rPr>
        <w:t>intern</w:t>
      </w:r>
      <w:r w:rsidR="004216EE">
        <w:rPr>
          <w:b/>
          <w:bCs/>
        </w:rPr>
        <w:t>o</w:t>
      </w:r>
      <w:r w:rsidR="00ED36D4">
        <w:rPr>
          <w:b/>
          <w:bCs/>
        </w:rPr>
        <w:t>s</w:t>
      </w:r>
      <w:r w:rsidR="00A12652">
        <w:t xml:space="preserve"> (</w:t>
      </w:r>
      <w:r w:rsidR="00B17177">
        <w:t xml:space="preserve">Governança Corporativa), </w:t>
      </w:r>
      <w:r w:rsidR="00ED36D4">
        <w:rPr>
          <w:b/>
          <w:bCs/>
        </w:rPr>
        <w:t>extern</w:t>
      </w:r>
      <w:r w:rsidR="004216EE">
        <w:rPr>
          <w:b/>
          <w:bCs/>
        </w:rPr>
        <w:t>o</w:t>
      </w:r>
      <w:r w:rsidR="00ED36D4">
        <w:rPr>
          <w:b/>
          <w:bCs/>
        </w:rPr>
        <w:t>s</w:t>
      </w:r>
      <w:r w:rsidR="00B17177">
        <w:t xml:space="preserve"> (normas e legislações impostas por governos ou agências reguladoras) e de </w:t>
      </w:r>
      <w:r w:rsidR="00B17177" w:rsidRPr="00ED36D4">
        <w:rPr>
          <w:b/>
          <w:bCs/>
        </w:rPr>
        <w:t>provedor de serviços de nuvem</w:t>
      </w:r>
      <w:r w:rsidR="00B17177">
        <w:t xml:space="preserve"> (</w:t>
      </w:r>
      <w:r w:rsidR="002D36CC">
        <w:t>legislações e regras internacionais</w:t>
      </w:r>
      <w:r w:rsidR="00B17177">
        <w:t>).</w:t>
      </w:r>
    </w:p>
    <w:p w:rsidR="00844DE9" w:rsidRPr="00A12652" w:rsidRDefault="00844DE9" w:rsidP="00762CC7">
      <w:pPr>
        <w:ind w:firstLine="360"/>
        <w:jc w:val="both"/>
      </w:pPr>
      <w:r>
        <w:t>Abaixo estão alguns processos</w:t>
      </w:r>
      <w:r w:rsidR="00D32042">
        <w:t xml:space="preserve"> que auxiliarão no entendimento do questionamento enviado a TI</w:t>
      </w:r>
      <w:r>
        <w:t xml:space="preserve">, </w:t>
      </w:r>
      <w:r w:rsidR="0009477C">
        <w:t xml:space="preserve">utilizados </w:t>
      </w:r>
      <w:r w:rsidR="00D32042">
        <w:t xml:space="preserve">atualmente </w:t>
      </w:r>
      <w:r w:rsidR="0009477C">
        <w:t xml:space="preserve">na </w:t>
      </w:r>
      <w:r>
        <w:t>governança corporativa</w:t>
      </w:r>
      <w:r w:rsidR="0009477C">
        <w:t xml:space="preserve"> – framework Cobit</w:t>
      </w:r>
      <w:r>
        <w:t>, e que precisarão</w:t>
      </w:r>
      <w:r w:rsidR="00BF6FCB">
        <w:t xml:space="preserve"> ser avaliados em conjunto com o fornecedor da solução</w:t>
      </w:r>
      <w:r w:rsidR="00762CC7">
        <w:t xml:space="preserve"> de computação em nuvem</w:t>
      </w:r>
      <w:r w:rsidR="00BF6FCB">
        <w:t>.</w:t>
      </w:r>
    </w:p>
    <w:p w:rsidR="00644DBE" w:rsidRDefault="00C623CF" w:rsidP="003A252B">
      <w:pPr>
        <w:pStyle w:val="PargrafodaLista"/>
        <w:numPr>
          <w:ilvl w:val="0"/>
          <w:numId w:val="7"/>
        </w:numPr>
        <w:jc w:val="both"/>
      </w:pPr>
      <w:r w:rsidRPr="00C623CF">
        <w:t>Garantir a Segurança dos Sistemas</w:t>
      </w:r>
    </w:p>
    <w:p w:rsidR="0069688C" w:rsidRDefault="0069688C" w:rsidP="0069688C">
      <w:pPr>
        <w:ind w:firstLine="360"/>
        <w:jc w:val="both"/>
      </w:pPr>
      <w:r>
        <w:t>A</w:t>
      </w:r>
      <w:r w:rsidRPr="0069688C">
        <w:t xml:space="preserve"> solicitação, a emissão, a suspensão, a modi</w:t>
      </w:r>
      <w:r>
        <w:rPr>
          <w:rFonts w:hint="eastAsia"/>
        </w:rPr>
        <w:t>f</w:t>
      </w:r>
      <w:r>
        <w:t>i</w:t>
      </w:r>
      <w:r w:rsidRPr="0069688C">
        <w:t>cação e o bloqueio de contas de usuário e dos respectivos privilégios sejam tratados por procedimentos de gestão de contas de usuário</w:t>
      </w:r>
      <w:r>
        <w:t>.</w:t>
      </w:r>
    </w:p>
    <w:p w:rsidR="00A82BF2" w:rsidRDefault="005C1508" w:rsidP="0069688C">
      <w:pPr>
        <w:pStyle w:val="PargrafodaLista"/>
        <w:numPr>
          <w:ilvl w:val="1"/>
          <w:numId w:val="7"/>
        </w:numPr>
        <w:jc w:val="both"/>
      </w:pPr>
      <w:r>
        <w:t>Permitir acesso a dados críticos e confidenciais somente a usuários autorizados</w:t>
      </w:r>
    </w:p>
    <w:p w:rsidR="005C1508" w:rsidRDefault="005C1508" w:rsidP="003A252B">
      <w:pPr>
        <w:pStyle w:val="PargrafodaLista"/>
        <w:numPr>
          <w:ilvl w:val="1"/>
          <w:numId w:val="7"/>
        </w:numPr>
        <w:jc w:val="both"/>
      </w:pPr>
      <w:r>
        <w:t>Identificar</w:t>
      </w:r>
      <w:r w:rsidR="00A82BF2">
        <w:t>, monitorar e reportar vulnerabilidades e incidentes de segurança</w:t>
      </w:r>
    </w:p>
    <w:p w:rsidR="00A82BF2" w:rsidRDefault="00A82BF2" w:rsidP="003A252B">
      <w:pPr>
        <w:pStyle w:val="PargrafodaLista"/>
        <w:numPr>
          <w:ilvl w:val="1"/>
          <w:numId w:val="7"/>
        </w:numPr>
        <w:jc w:val="both"/>
      </w:pPr>
      <w:r>
        <w:t>Detectar e solucionar acessos não autorizados às informações, aplicações e infraestrutura</w:t>
      </w:r>
    </w:p>
    <w:p w:rsidR="00A82BF2" w:rsidRDefault="00A82BF2" w:rsidP="003A252B">
      <w:pPr>
        <w:pStyle w:val="PargrafodaLista"/>
        <w:numPr>
          <w:ilvl w:val="1"/>
          <w:numId w:val="7"/>
        </w:numPr>
        <w:jc w:val="both"/>
      </w:pPr>
      <w:r>
        <w:t>Minimizar impacto de vulnerabilidade</w:t>
      </w:r>
    </w:p>
    <w:p w:rsidR="005C1508" w:rsidRDefault="005C1508" w:rsidP="00A82BF2">
      <w:pPr>
        <w:pStyle w:val="PargrafodaLista"/>
        <w:ind w:left="1080"/>
        <w:jc w:val="both"/>
      </w:pPr>
    </w:p>
    <w:p w:rsidR="006E37B8" w:rsidRDefault="006E37B8" w:rsidP="003A252B">
      <w:pPr>
        <w:pStyle w:val="PargrafodaLista"/>
        <w:numPr>
          <w:ilvl w:val="0"/>
          <w:numId w:val="6"/>
        </w:numPr>
        <w:jc w:val="both"/>
      </w:pPr>
      <w:r>
        <w:t>Gerenciar serviços terceirizados</w:t>
      </w:r>
    </w:p>
    <w:p w:rsidR="003422A9" w:rsidRDefault="003422A9" w:rsidP="003422A9">
      <w:pPr>
        <w:pStyle w:val="PargrafodaLista"/>
        <w:ind w:left="360"/>
        <w:jc w:val="both"/>
      </w:pPr>
      <w:r>
        <w:t xml:space="preserve">Serviços que sejam satisfatórios e transparentes do ponto de vista de benefícios, custos e riscos. </w:t>
      </w:r>
    </w:p>
    <w:p w:rsidR="006E37B8" w:rsidRDefault="006E37B8" w:rsidP="003A252B">
      <w:pPr>
        <w:pStyle w:val="PargrafodaLista"/>
        <w:numPr>
          <w:ilvl w:val="1"/>
          <w:numId w:val="6"/>
        </w:numPr>
        <w:jc w:val="both"/>
      </w:pPr>
      <w:r>
        <w:t>Estabelecer pape</w:t>
      </w:r>
      <w:r w:rsidR="008748AF">
        <w:t>is</w:t>
      </w:r>
      <w:r>
        <w:t xml:space="preserve"> e responsabilidades bilaterais</w:t>
      </w:r>
    </w:p>
    <w:p w:rsidR="006E37B8" w:rsidRDefault="006E37B8" w:rsidP="003A252B">
      <w:pPr>
        <w:pStyle w:val="PargrafodaLista"/>
        <w:numPr>
          <w:ilvl w:val="1"/>
          <w:numId w:val="6"/>
        </w:numPr>
        <w:jc w:val="both"/>
      </w:pPr>
      <w:r>
        <w:t>Monitorar entrega de serviços e cumprimento dos acordos</w:t>
      </w:r>
    </w:p>
    <w:p w:rsidR="006E37B8" w:rsidRDefault="006E37B8" w:rsidP="003A252B">
      <w:pPr>
        <w:pStyle w:val="PargrafodaLista"/>
        <w:numPr>
          <w:ilvl w:val="1"/>
          <w:numId w:val="6"/>
        </w:numPr>
        <w:jc w:val="both"/>
      </w:pPr>
      <w:r>
        <w:t>Garantir a conformidade de padrões internos e externos</w:t>
      </w:r>
    </w:p>
    <w:p w:rsidR="006E37B8" w:rsidRDefault="006E37B8" w:rsidP="003A252B">
      <w:pPr>
        <w:pStyle w:val="PargrafodaLista"/>
        <w:numPr>
          <w:ilvl w:val="1"/>
          <w:numId w:val="6"/>
        </w:numPr>
        <w:jc w:val="both"/>
      </w:pPr>
      <w:r>
        <w:t>Assegurar a possibilidade da continuação da relação</w:t>
      </w:r>
    </w:p>
    <w:p w:rsidR="0004024B" w:rsidRDefault="0004024B" w:rsidP="0004024B">
      <w:pPr>
        <w:pStyle w:val="PargrafodaLista"/>
        <w:ind w:left="1080"/>
        <w:jc w:val="both"/>
      </w:pPr>
    </w:p>
    <w:p w:rsidR="006E37B8" w:rsidRDefault="006E37B8" w:rsidP="003A252B">
      <w:pPr>
        <w:pStyle w:val="PargrafodaLista"/>
        <w:numPr>
          <w:ilvl w:val="0"/>
          <w:numId w:val="6"/>
        </w:numPr>
        <w:jc w:val="both"/>
      </w:pPr>
      <w:r>
        <w:t>Gerenciar o desempenho e capacidade</w:t>
      </w:r>
    </w:p>
    <w:p w:rsidR="009D3427" w:rsidRDefault="009D3427" w:rsidP="009D3427">
      <w:pPr>
        <w:ind w:firstLine="360"/>
        <w:jc w:val="both"/>
      </w:pPr>
      <w:r>
        <w:t>O</w:t>
      </w:r>
      <w:r w:rsidRPr="009D3427">
        <w:t>timizar o desempenho da infraestrutura, recursos e capacidades de TI em resposta às necessidades do negócio</w:t>
      </w:r>
      <w:r w:rsidR="00435884">
        <w:t xml:space="preserve">. </w:t>
      </w:r>
      <w:r w:rsidR="005D3B6F">
        <w:t>Principalmente na relação de indisponibilidade e resposta de transações.</w:t>
      </w:r>
    </w:p>
    <w:p w:rsidR="006E37B8" w:rsidRPr="00435884" w:rsidRDefault="006E37B8" w:rsidP="003A252B">
      <w:pPr>
        <w:pStyle w:val="PargrafodaLista"/>
        <w:numPr>
          <w:ilvl w:val="1"/>
          <w:numId w:val="6"/>
        </w:numPr>
        <w:jc w:val="both"/>
      </w:pPr>
      <w:r w:rsidRPr="00435884">
        <w:lastRenderedPageBreak/>
        <w:t>Monitorar o atendimento dos SLAs</w:t>
      </w:r>
    </w:p>
    <w:p w:rsidR="004467A7" w:rsidRDefault="004467A7" w:rsidP="004467A7">
      <w:pPr>
        <w:pStyle w:val="PargrafodaLista"/>
        <w:numPr>
          <w:ilvl w:val="2"/>
          <w:numId w:val="6"/>
        </w:numPr>
        <w:jc w:val="both"/>
      </w:pPr>
      <w:r>
        <w:t>SLA de atendimento - garantindo</w:t>
      </w:r>
      <w:r w:rsidRPr="004467A7">
        <w:t xml:space="preserve"> o tempo máximo que uma requisição de sua equipe demorará para ser atendida</w:t>
      </w:r>
    </w:p>
    <w:p w:rsidR="004467A7" w:rsidRDefault="004467A7" w:rsidP="004467A7">
      <w:pPr>
        <w:pStyle w:val="PargrafodaLista"/>
        <w:numPr>
          <w:ilvl w:val="2"/>
          <w:numId w:val="6"/>
        </w:numPr>
        <w:jc w:val="both"/>
      </w:pPr>
      <w:r>
        <w:t xml:space="preserve">SLA de indisponibilidade - </w:t>
      </w:r>
      <w:r w:rsidRPr="004467A7">
        <w:t>máximo de tempo que um serviço pode ficar fora do ar</w:t>
      </w:r>
    </w:p>
    <w:p w:rsidR="006E37B8" w:rsidRDefault="006E37B8" w:rsidP="003A252B">
      <w:pPr>
        <w:pStyle w:val="PargrafodaLista"/>
        <w:numPr>
          <w:ilvl w:val="1"/>
          <w:numId w:val="6"/>
        </w:numPr>
        <w:jc w:val="both"/>
      </w:pPr>
      <w:r>
        <w:t>Minimizar falhas nas transações</w:t>
      </w:r>
    </w:p>
    <w:p w:rsidR="006E37B8" w:rsidRDefault="006E37B8" w:rsidP="003A252B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Minimizar tempo de indisponibilidade</w:t>
      </w:r>
    </w:p>
    <w:p w:rsidR="006E37B8" w:rsidRDefault="006E37B8" w:rsidP="003A252B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Otimizar recursos de TI</w:t>
      </w:r>
    </w:p>
    <w:p w:rsidR="006E37B8" w:rsidRDefault="006E37B8" w:rsidP="003A252B">
      <w:pPr>
        <w:spacing w:after="0" w:line="240" w:lineRule="auto"/>
        <w:jc w:val="both"/>
      </w:pPr>
    </w:p>
    <w:p w:rsidR="00E878B7" w:rsidRDefault="004F38CB" w:rsidP="00E878B7">
      <w:pPr>
        <w:pStyle w:val="PargrafodaLista"/>
        <w:numPr>
          <w:ilvl w:val="0"/>
          <w:numId w:val="6"/>
        </w:numPr>
        <w:jc w:val="both"/>
      </w:pPr>
      <w:r w:rsidRPr="004F38CB">
        <w:t>Assegurar a Continuidade dos Serviços</w:t>
      </w:r>
    </w:p>
    <w:p w:rsidR="00E878B7" w:rsidRDefault="00AB45A4" w:rsidP="00AB45A4">
      <w:pPr>
        <w:pStyle w:val="PargrafodaLista"/>
        <w:ind w:left="360" w:firstLine="348"/>
        <w:jc w:val="both"/>
      </w:pPr>
      <w:r>
        <w:t>A</w:t>
      </w:r>
      <w:r w:rsidRPr="00AB45A4">
        <w:t xml:space="preserve">ssegurar impacto mínimo </w:t>
      </w:r>
      <w:r>
        <w:t>aos</w:t>
      </w:r>
      <w:r w:rsidRPr="00AB45A4">
        <w:t xml:space="preserve"> negócios no caso de uma interrupção nos serviços de TI</w:t>
      </w:r>
      <w:r>
        <w:t>.</w:t>
      </w:r>
    </w:p>
    <w:p w:rsidR="00E878B7" w:rsidRDefault="0033589D" w:rsidP="00E878B7">
      <w:pPr>
        <w:pStyle w:val="PargrafodaLista"/>
        <w:numPr>
          <w:ilvl w:val="1"/>
          <w:numId w:val="6"/>
        </w:numPr>
        <w:jc w:val="both"/>
      </w:pPr>
      <w:r>
        <w:t>Estabelecer</w:t>
      </w:r>
      <w:r w:rsidRPr="0033589D">
        <w:t xml:space="preserve"> um plano de contingência de TI que dê sustentação aos planos de continuidade de negócio</w:t>
      </w:r>
    </w:p>
    <w:p w:rsidR="00735D5F" w:rsidRDefault="00735D5F" w:rsidP="00E878B7">
      <w:pPr>
        <w:pStyle w:val="PargrafodaLista"/>
        <w:numPr>
          <w:ilvl w:val="1"/>
          <w:numId w:val="6"/>
        </w:numPr>
        <w:jc w:val="both"/>
      </w:pPr>
      <w:r>
        <w:t>Desenvolver</w:t>
      </w:r>
      <w:r w:rsidRPr="00735D5F">
        <w:t xml:space="preserve"> planos de continuidade de T</w:t>
      </w:r>
      <w:r>
        <w:t>I</w:t>
      </w:r>
      <w:r w:rsidRPr="00735D5F">
        <w:t xml:space="preserve"> que possam ser executados, testados e mantidos</w:t>
      </w:r>
    </w:p>
    <w:p w:rsidR="00735D5F" w:rsidRDefault="00735D5F" w:rsidP="00E878B7">
      <w:pPr>
        <w:pStyle w:val="PargrafodaLista"/>
        <w:numPr>
          <w:ilvl w:val="1"/>
          <w:numId w:val="6"/>
        </w:numPr>
        <w:jc w:val="both"/>
      </w:pPr>
      <w:r>
        <w:t xml:space="preserve">Minimizar a </w:t>
      </w:r>
      <w:r w:rsidRPr="00735D5F">
        <w:t>probabilidade de interrupção de serviços de TI</w:t>
      </w:r>
    </w:p>
    <w:p w:rsidR="00E878B7" w:rsidRDefault="00E878B7" w:rsidP="003A252B">
      <w:pPr>
        <w:spacing w:after="0" w:line="240" w:lineRule="auto"/>
        <w:jc w:val="both"/>
      </w:pPr>
    </w:p>
    <w:p w:rsidR="00E878B7" w:rsidRDefault="00E878B7" w:rsidP="00E878B7">
      <w:pPr>
        <w:pStyle w:val="PargrafodaLista"/>
        <w:numPr>
          <w:ilvl w:val="0"/>
          <w:numId w:val="6"/>
        </w:numPr>
        <w:jc w:val="both"/>
      </w:pPr>
      <w:r>
        <w:t xml:space="preserve">Educar e treinar </w:t>
      </w:r>
      <w:r w:rsidR="001663EE">
        <w:t xml:space="preserve">os </w:t>
      </w:r>
      <w:r>
        <w:t>usuários</w:t>
      </w:r>
    </w:p>
    <w:p w:rsidR="00E878B7" w:rsidRDefault="003B7E69" w:rsidP="003B7E69">
      <w:pPr>
        <w:pStyle w:val="PargrafodaLista"/>
        <w:ind w:left="360" w:firstLine="348"/>
        <w:jc w:val="both"/>
      </w:pPr>
      <w:r>
        <w:t>Uso de forma efetiva</w:t>
      </w:r>
      <w:r w:rsidRPr="003B7E69">
        <w:t xml:space="preserve"> e e</w:t>
      </w:r>
      <w:r>
        <w:rPr>
          <w:rFonts w:hint="eastAsia"/>
        </w:rPr>
        <w:t>f</w:t>
      </w:r>
      <w:r>
        <w:t>i</w:t>
      </w:r>
      <w:r w:rsidRPr="003B7E69">
        <w:t>ciente das aplicações e soluções tecnológicas, e conformidade do usuário com as políticas e os procedimentos</w:t>
      </w:r>
      <w:r w:rsidR="00E878B7">
        <w:t xml:space="preserve">. </w:t>
      </w:r>
    </w:p>
    <w:p w:rsidR="00E878B7" w:rsidRDefault="00E878B7" w:rsidP="00E878B7">
      <w:pPr>
        <w:pStyle w:val="PargrafodaLista"/>
        <w:numPr>
          <w:ilvl w:val="1"/>
          <w:numId w:val="6"/>
        </w:numPr>
        <w:jc w:val="both"/>
      </w:pPr>
      <w:r>
        <w:t xml:space="preserve">Estabelecer </w:t>
      </w:r>
      <w:r w:rsidR="00152239">
        <w:t>programa de treinamento para usuário de todos os níveis (mudança de cultura e adequação a novas metodologias)</w:t>
      </w:r>
    </w:p>
    <w:p w:rsidR="00337F4F" w:rsidRDefault="00337F4F" w:rsidP="00E878B7">
      <w:pPr>
        <w:pStyle w:val="PargrafodaLista"/>
        <w:numPr>
          <w:ilvl w:val="1"/>
          <w:numId w:val="6"/>
        </w:numPr>
        <w:jc w:val="both"/>
      </w:pPr>
      <w:r>
        <w:t>Transferir conhecimento aos usuários das soluções tecnológicas</w:t>
      </w:r>
    </w:p>
    <w:p w:rsidR="00337F4F" w:rsidRDefault="00337F4F" w:rsidP="00E878B7">
      <w:pPr>
        <w:pStyle w:val="PargrafodaLista"/>
        <w:numPr>
          <w:ilvl w:val="1"/>
          <w:numId w:val="6"/>
        </w:numPr>
        <w:jc w:val="both"/>
      </w:pPr>
      <w:r>
        <w:t>Conscientizar os usuários sobre riscos e responsabilidades envolvidas na aplicação de soluções tecnológicas</w:t>
      </w:r>
    </w:p>
    <w:p w:rsidR="00E878B7" w:rsidRDefault="00E878B7" w:rsidP="003A252B">
      <w:pPr>
        <w:spacing w:after="0" w:line="240" w:lineRule="auto"/>
        <w:jc w:val="both"/>
      </w:pPr>
    </w:p>
    <w:p w:rsidR="005E45B2" w:rsidRDefault="00A63781" w:rsidP="00A63781">
      <w:pPr>
        <w:ind w:firstLine="360"/>
        <w:jc w:val="both"/>
      </w:pPr>
      <w:r>
        <w:t xml:space="preserve">Outros processos serão revisitados </w:t>
      </w:r>
      <w:r w:rsidR="003B6C2E">
        <w:t xml:space="preserve">em tempo de </w:t>
      </w:r>
      <w:r>
        <w:t>RFI</w:t>
      </w:r>
      <w:r w:rsidR="003B6C2E">
        <w:t xml:space="preserve"> / </w:t>
      </w:r>
      <w:r>
        <w:t>RFP e serão anexados ao projeto.</w:t>
      </w:r>
    </w:p>
    <w:p w:rsidR="00D34A55" w:rsidRDefault="00D34A55" w:rsidP="00A63781">
      <w:pPr>
        <w:ind w:firstLine="360"/>
        <w:jc w:val="both"/>
      </w:pPr>
    </w:p>
    <w:p w:rsidR="00744240" w:rsidRPr="00270933" w:rsidRDefault="00744240" w:rsidP="0044070E">
      <w:pPr>
        <w:spacing w:after="0" w:line="240" w:lineRule="auto"/>
        <w:rPr>
          <w:b/>
          <w:bCs/>
        </w:rPr>
      </w:pPr>
      <w:r w:rsidRPr="00744240">
        <w:rPr>
          <w:b/>
          <w:bCs/>
        </w:rPr>
        <w:t>ROI</w:t>
      </w:r>
    </w:p>
    <w:p w:rsidR="00270933" w:rsidRDefault="00270933" w:rsidP="0044070E">
      <w:pPr>
        <w:spacing w:after="0" w:line="240" w:lineRule="auto"/>
      </w:pPr>
    </w:p>
    <w:p w:rsidR="00C22612" w:rsidRDefault="005D2D9D" w:rsidP="008748AF">
      <w:pPr>
        <w:spacing w:after="0" w:line="240" w:lineRule="auto"/>
        <w:jc w:val="both"/>
      </w:pPr>
      <w:r>
        <w:tab/>
      </w:r>
      <w:r w:rsidR="008748AF">
        <w:t>D</w:t>
      </w:r>
      <w:r w:rsidR="008A49E6">
        <w:t>entro do processo tradicional de gerenciamento d</w:t>
      </w:r>
      <w:r w:rsidR="00C22612" w:rsidRPr="00C22612">
        <w:t xml:space="preserve">o </w:t>
      </w:r>
      <w:r w:rsidR="008A49E6">
        <w:t>i</w:t>
      </w:r>
      <w:r w:rsidR="00C22612" w:rsidRPr="00C22612">
        <w:t>nvestimento de TI</w:t>
      </w:r>
      <w:r w:rsidR="008A49E6">
        <w:t>, temos a busca</w:t>
      </w:r>
      <w:r w:rsidR="00C22612" w:rsidRPr="00C22612">
        <w:t xml:space="preserve"> cont</w:t>
      </w:r>
      <w:r w:rsidR="00C22612">
        <w:t>í</w:t>
      </w:r>
      <w:r w:rsidR="00C22612" w:rsidRPr="00C22612">
        <w:t>nu</w:t>
      </w:r>
      <w:r w:rsidR="00C22612">
        <w:t xml:space="preserve">a </w:t>
      </w:r>
      <w:r w:rsidR="00C22612" w:rsidRPr="00C22612">
        <w:t>e vis</w:t>
      </w:r>
      <w:r w:rsidR="00C22612">
        <w:t>í</w:t>
      </w:r>
      <w:r w:rsidR="00C22612" w:rsidRPr="00C22612">
        <w:t xml:space="preserve">vel </w:t>
      </w:r>
      <w:r w:rsidR="00C22612">
        <w:t>d</w:t>
      </w:r>
      <w:r w:rsidR="00C22612" w:rsidRPr="00C22612">
        <w:t xml:space="preserve">a relação custo-benefício da TI e sua contribuição para a lucratividade do negócio com serviços integrados e padronizados que satisfaçam às expectativas do usuário </w:t>
      </w:r>
      <w:r w:rsidR="00C22612">
        <w:rPr>
          <w:rFonts w:hint="eastAsia"/>
        </w:rPr>
        <w:t>f</w:t>
      </w:r>
      <w:r w:rsidR="00C22612">
        <w:t>i</w:t>
      </w:r>
      <w:r w:rsidR="00C22612" w:rsidRPr="00C22612">
        <w:t>nal</w:t>
      </w:r>
      <w:r w:rsidR="00C22612">
        <w:t>.</w:t>
      </w:r>
      <w:r w:rsidR="008A49E6">
        <w:t xml:space="preserve"> E com isso podemos medir o ROI referente a aquisição de uma plataforma de Billing por exemplo, pois já teremos a definição de infraestrutura necessária e muitas vezes até superdimensionada.</w:t>
      </w:r>
    </w:p>
    <w:p w:rsidR="008A49E6" w:rsidRDefault="008A49E6" w:rsidP="00D34A55">
      <w:pPr>
        <w:spacing w:after="0" w:line="240" w:lineRule="auto"/>
        <w:jc w:val="both"/>
      </w:pPr>
      <w:r>
        <w:tab/>
        <w:t xml:space="preserve">Para o projeto de transformação digital, propomos uma avaliação do ROI inicial e o cálculo periódico desse indicador após início do projeto. </w:t>
      </w:r>
      <w:r w:rsidR="00D34A55">
        <w:t>Pois</w:t>
      </w:r>
      <w:bookmarkStart w:id="0" w:name="_GoBack"/>
      <w:bookmarkEnd w:id="0"/>
      <w:r w:rsidR="00D34A55">
        <w:t>, quando falamos</w:t>
      </w:r>
      <w:r w:rsidR="003F1ED6">
        <w:t xml:space="preserve"> de computação </w:t>
      </w:r>
      <w:r w:rsidR="00D34A55">
        <w:t>na</w:t>
      </w:r>
      <w:r w:rsidR="003F1ED6">
        <w:t xml:space="preserve"> nuvem, envolvemos outros tipos custos e benefícios como</w:t>
      </w:r>
      <w:r w:rsidR="00D34A55">
        <w:t xml:space="preserve">: </w:t>
      </w:r>
      <w:r w:rsidR="003F1ED6">
        <w:t xml:space="preserve"> custos de utilização variáveis (sazonalidade), custos </w:t>
      </w:r>
      <w:r w:rsidR="00D34A55">
        <w:t xml:space="preserve">de </w:t>
      </w:r>
      <w:r w:rsidR="003F1ED6">
        <w:t>solução (IaaS, Saa</w:t>
      </w:r>
      <w:r w:rsidR="00C82E82">
        <w:t>S</w:t>
      </w:r>
      <w:r w:rsidR="003F1ED6">
        <w:t>, etc), mudança organizacional, agilidade sistêmica, transferência de CAPEX para OPEX, etc.</w:t>
      </w:r>
    </w:p>
    <w:p w:rsidR="008A49E6" w:rsidRDefault="008A49E6" w:rsidP="008A49E6">
      <w:pPr>
        <w:spacing w:after="0" w:line="240" w:lineRule="auto"/>
      </w:pPr>
    </w:p>
    <w:p w:rsidR="00C22612" w:rsidRDefault="00C22612" w:rsidP="0044070E">
      <w:pPr>
        <w:spacing w:after="0" w:line="240" w:lineRule="auto"/>
      </w:pPr>
    </w:p>
    <w:sectPr w:rsidR="00C22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FD3"/>
    <w:multiLevelType w:val="hybridMultilevel"/>
    <w:tmpl w:val="BE8479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F0D01"/>
    <w:multiLevelType w:val="hybridMultilevel"/>
    <w:tmpl w:val="1B6EBE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86275F"/>
    <w:multiLevelType w:val="multilevel"/>
    <w:tmpl w:val="688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6B39"/>
    <w:multiLevelType w:val="multilevel"/>
    <w:tmpl w:val="8AFC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E5DEA"/>
    <w:multiLevelType w:val="hybridMultilevel"/>
    <w:tmpl w:val="F2347D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9E6330"/>
    <w:multiLevelType w:val="hybridMultilevel"/>
    <w:tmpl w:val="C71AB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434BD"/>
    <w:multiLevelType w:val="multilevel"/>
    <w:tmpl w:val="E76E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C1241"/>
    <w:multiLevelType w:val="hybridMultilevel"/>
    <w:tmpl w:val="100603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98"/>
    <w:rsid w:val="0004024B"/>
    <w:rsid w:val="00083C85"/>
    <w:rsid w:val="0009477C"/>
    <w:rsid w:val="000B2415"/>
    <w:rsid w:val="000C42DD"/>
    <w:rsid w:val="000F2C14"/>
    <w:rsid w:val="00152239"/>
    <w:rsid w:val="00157DCB"/>
    <w:rsid w:val="001617B4"/>
    <w:rsid w:val="001663EE"/>
    <w:rsid w:val="001E5C66"/>
    <w:rsid w:val="00206CC2"/>
    <w:rsid w:val="00270933"/>
    <w:rsid w:val="00280CCC"/>
    <w:rsid w:val="002C0D98"/>
    <w:rsid w:val="002D36CC"/>
    <w:rsid w:val="003152F8"/>
    <w:rsid w:val="0033589D"/>
    <w:rsid w:val="00337F4F"/>
    <w:rsid w:val="003422A9"/>
    <w:rsid w:val="003A252B"/>
    <w:rsid w:val="003A60BB"/>
    <w:rsid w:val="003B6C2E"/>
    <w:rsid w:val="003B7E69"/>
    <w:rsid w:val="003F1ED6"/>
    <w:rsid w:val="004216EE"/>
    <w:rsid w:val="00431F33"/>
    <w:rsid w:val="00435884"/>
    <w:rsid w:val="0044070E"/>
    <w:rsid w:val="004467A7"/>
    <w:rsid w:val="004F38CB"/>
    <w:rsid w:val="00502E76"/>
    <w:rsid w:val="00545F78"/>
    <w:rsid w:val="00555129"/>
    <w:rsid w:val="005574B3"/>
    <w:rsid w:val="005C1508"/>
    <w:rsid w:val="005D2D9D"/>
    <w:rsid w:val="005D3B6F"/>
    <w:rsid w:val="005E45B2"/>
    <w:rsid w:val="00644DBE"/>
    <w:rsid w:val="0069688C"/>
    <w:rsid w:val="006E37B8"/>
    <w:rsid w:val="006F642C"/>
    <w:rsid w:val="0070258D"/>
    <w:rsid w:val="00735D5F"/>
    <w:rsid w:val="00744240"/>
    <w:rsid w:val="00747DA4"/>
    <w:rsid w:val="00762CC7"/>
    <w:rsid w:val="00810221"/>
    <w:rsid w:val="00844DE9"/>
    <w:rsid w:val="00867809"/>
    <w:rsid w:val="008748AF"/>
    <w:rsid w:val="008A49E6"/>
    <w:rsid w:val="009D0064"/>
    <w:rsid w:val="009D3427"/>
    <w:rsid w:val="00A12652"/>
    <w:rsid w:val="00A33E60"/>
    <w:rsid w:val="00A63781"/>
    <w:rsid w:val="00A720E0"/>
    <w:rsid w:val="00A82BF2"/>
    <w:rsid w:val="00AB3BD9"/>
    <w:rsid w:val="00AB45A4"/>
    <w:rsid w:val="00B17177"/>
    <w:rsid w:val="00B30558"/>
    <w:rsid w:val="00B34039"/>
    <w:rsid w:val="00B4598D"/>
    <w:rsid w:val="00B56A5D"/>
    <w:rsid w:val="00B57FB1"/>
    <w:rsid w:val="00B73F25"/>
    <w:rsid w:val="00BD2203"/>
    <w:rsid w:val="00BF6FCB"/>
    <w:rsid w:val="00C22612"/>
    <w:rsid w:val="00C623CF"/>
    <w:rsid w:val="00C82E82"/>
    <w:rsid w:val="00CC457D"/>
    <w:rsid w:val="00CF41C5"/>
    <w:rsid w:val="00D22DB6"/>
    <w:rsid w:val="00D32042"/>
    <w:rsid w:val="00D34A55"/>
    <w:rsid w:val="00D3657D"/>
    <w:rsid w:val="00D6234D"/>
    <w:rsid w:val="00E537FF"/>
    <w:rsid w:val="00E878B7"/>
    <w:rsid w:val="00ED36D4"/>
    <w:rsid w:val="00F10874"/>
    <w:rsid w:val="00F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7872"/>
  <w15:chartTrackingRefBased/>
  <w15:docId w15:val="{DCA86C9F-6D3B-4159-90F6-70BAD7F9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2C0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0D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1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Alberto Cunha Neto</dc:creator>
  <cp:keywords/>
  <dc:description/>
  <cp:lastModifiedBy>João Alberto Cunha Neto</cp:lastModifiedBy>
  <cp:revision>65</cp:revision>
  <dcterms:created xsi:type="dcterms:W3CDTF">2019-11-25T13:11:00Z</dcterms:created>
  <dcterms:modified xsi:type="dcterms:W3CDTF">2019-11-26T02:36:00Z</dcterms:modified>
</cp:coreProperties>
</file>