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\section{Abstract}</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00"/>
        </w:rPr>
        <w:t xml:space="preserve">Consistent improvements in neural recording technology have made the role of theory in neuroscience as crucial as ever.  Theoretical models must explain more and more properties of neuronal activity as they are rapidly discovered.  To account for additional scientific findings, models </w:t>
      </w:r>
      <w:r w:rsidR="00F069BA">
        <w:rPr>
          <w:rFonts w:ascii="Calibri" w:eastAsia="Times New Roman" w:hAnsi="Calibri" w:cs="Calibri"/>
          <w:color w:val="000000"/>
        </w:rPr>
        <w:t>often</w:t>
      </w:r>
      <w:r w:rsidRPr="00B153CE">
        <w:rPr>
          <w:rFonts w:ascii="Calibri" w:eastAsia="Times New Roman" w:hAnsi="Calibri" w:cs="Calibri"/>
          <w:color w:val="000000"/>
        </w:rPr>
        <w:t xml:space="preserve"> increase in complexity making theoretical work more challenging.   Specifically, a critical step in theoretical neuroscience is determining how parameterizations of neural circuit models govern the emergent properties of interest (those </w:t>
      </w:r>
      <w:r w:rsidR="00F069BA">
        <w:rPr>
          <w:rFonts w:ascii="Calibri" w:eastAsia="Times New Roman" w:hAnsi="Calibri" w:cs="Calibri"/>
          <w:color w:val="000000"/>
        </w:rPr>
        <w:t>motivated</w:t>
      </w:r>
      <w:r w:rsidRPr="00B153CE">
        <w:rPr>
          <w:rFonts w:ascii="Calibri" w:eastAsia="Times New Roman" w:hAnsi="Calibri" w:cs="Calibri"/>
          <w:color w:val="000000"/>
        </w:rPr>
        <w:t xml:space="preserve"> by scientific findings.)  The gold standard is to derive these relationships analytically</w:t>
      </w:r>
      <w:r w:rsidR="00DF5CA8">
        <w:rPr>
          <w:rFonts w:ascii="Calibri" w:eastAsia="Times New Roman" w:hAnsi="Calibri" w:cs="Calibri"/>
          <w:color w:val="000000"/>
        </w:rPr>
        <w:t xml:space="preserve"> using mathematical expertise</w:t>
      </w:r>
      <w:r w:rsidRPr="00B153CE">
        <w:rPr>
          <w:rFonts w:ascii="Calibri" w:eastAsia="Times New Roman" w:hAnsi="Calibri" w:cs="Calibri"/>
          <w:color w:val="000000"/>
        </w:rPr>
        <w:t xml:space="preserve">.  However, models of sufficient complexity to describe neural processing may not be amenable to such analytic approaches.  We propose a machine learning approach </w:t>
      </w:r>
      <w:r w:rsidR="00F069BA">
        <w:rPr>
          <w:rFonts w:ascii="Calibri" w:eastAsia="Times New Roman" w:hAnsi="Calibri" w:cs="Calibri"/>
          <w:color w:val="000000"/>
        </w:rPr>
        <w:t>for</w:t>
      </w:r>
      <w:r w:rsidRPr="00B153CE">
        <w:rPr>
          <w:rFonts w:ascii="Calibri" w:eastAsia="Times New Roman" w:hAnsi="Calibri" w:cs="Calibri"/>
          <w:color w:val="000000"/>
        </w:rPr>
        <w:t xml:space="preserve"> characterizing parameter-behavior relationships as an alternative to such analytic or brute-force simulation approaches.  Degenerate solution networks (DSNs) identify the full distribution of model parameters that result in an emergent property of interest.  We demonstrate how DSNs facilitate exploratory analyses</w:t>
      </w:r>
      <w:r w:rsidR="00F069BA">
        <w:rPr>
          <w:rFonts w:ascii="Calibri" w:eastAsia="Times New Roman" w:hAnsi="Calibri" w:cs="Calibri"/>
          <w:color w:val="000000"/>
        </w:rPr>
        <w:t xml:space="preserve"> and</w:t>
      </w:r>
      <w:r w:rsidRPr="00B153CE">
        <w:rPr>
          <w:rFonts w:ascii="Calibri" w:eastAsia="Times New Roman" w:hAnsi="Calibri" w:cs="Calibri"/>
          <w:color w:val="000000"/>
        </w:rPr>
        <w:t xml:space="preserve"> scientific hypothesis testing</w:t>
      </w:r>
      <w:r w:rsidR="00F069BA">
        <w:rPr>
          <w:rFonts w:ascii="Calibri" w:eastAsia="Times New Roman" w:hAnsi="Calibri" w:cs="Calibri"/>
          <w:color w:val="000000"/>
        </w:rPr>
        <w:t xml:space="preserve"> </w:t>
      </w:r>
      <w:r w:rsidRPr="00B153CE">
        <w:rPr>
          <w:rFonts w:ascii="Calibri" w:eastAsia="Times New Roman" w:hAnsi="Calibri" w:cs="Calibri"/>
          <w:color w:val="000000"/>
        </w:rPr>
        <w:t xml:space="preserve">beyond modern practice in models of the stomatogastric ganglion (STG), primary visual cortex (V1), superior colliculus (SC), and </w:t>
      </w:r>
      <w:r w:rsidR="00F069BA">
        <w:rPr>
          <w:rFonts w:ascii="Calibri" w:eastAsia="Times New Roman" w:hAnsi="Calibri" w:cs="Calibri"/>
          <w:color w:val="000000"/>
        </w:rPr>
        <w:t xml:space="preserve">in </w:t>
      </w:r>
      <w:r w:rsidRPr="00B153CE">
        <w:rPr>
          <w:rFonts w:ascii="Calibri" w:eastAsia="Times New Roman" w:hAnsi="Calibri" w:cs="Calibri"/>
          <w:color w:val="000000"/>
        </w:rPr>
        <w:t>recurrent neural networks (RNNs).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\section{Introduction}</w:t>
      </w:r>
    </w:p>
    <w:p w:rsidR="007C4A6D"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sidRPr="00B153CE">
        <w:rPr>
          <w:rFonts w:ascii="Calibri" w:eastAsia="Times New Roman" w:hAnsi="Calibri" w:cs="Calibri"/>
          <w:color w:val="000000"/>
        </w:rPr>
        <w:t>Theoretical neuroscientists design and test models of neural computation, assessing a model’s quality by its recapitulation of experimentally recorded neural activity.  Developing a theory for a particular neural computation involves a.) mathematically defining the emergent properties of the neural activity that signify the computation, b.) designing a parameterized model of the brain area(s) executing the computation, and then c.) characterizing the model parameters that produce these emergent properties.  In idealized practice of theory, scientists perform step c.) through analytic derivation.  These derivations often rely on tools developed in fields such as physics [cite], computer science[cite] and engineering</w:t>
      </w:r>
      <w:r w:rsidR="00193EBA">
        <w:rPr>
          <w:rFonts w:ascii="Calibri" w:eastAsia="Times New Roman" w:hAnsi="Calibri" w:cs="Calibri"/>
          <w:color w:val="000000"/>
        </w:rPr>
        <w:t xml:space="preserve"> </w:t>
      </w:r>
      <w:r w:rsidRPr="00B153CE">
        <w:rPr>
          <w:rFonts w:ascii="Calibri" w:eastAsia="Times New Roman" w:hAnsi="Calibri" w:cs="Calibri"/>
          <w:color w:val="000000"/>
        </w:rPr>
        <w:t>[cite].  It is often necessary for theoretical neuroscientists to extend these formalisms [cite], or build an entirely new class of methodology [cite].</w:t>
      </w:r>
      <w:r w:rsidR="007C4A6D">
        <w:rPr>
          <w:rFonts w:ascii="Calibri" w:eastAsia="Times New Roman" w:hAnsi="Calibri" w:cs="Calibri"/>
          <w:color w:val="000000"/>
        </w:rPr>
        <w:t xml:space="preserve">  </w:t>
      </w:r>
    </w:p>
    <w:p w:rsidR="007C4A6D" w:rsidRDefault="007C4A6D"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p>
    <w:p w:rsidR="004509E6" w:rsidRDefault="007C4A6D"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Pr>
          <w:rFonts w:ascii="Calibri" w:eastAsia="Times New Roman" w:hAnsi="Calibri" w:cs="Calibri"/>
        </w:rPr>
        <w:t xml:space="preserve">Such gold standard theoretical practice is not always possible for addressing neuroscientific questions.  </w:t>
      </w:r>
      <w:r w:rsidR="001532AB">
        <w:rPr>
          <w:rFonts w:ascii="Calibri" w:eastAsia="Times New Roman" w:hAnsi="Calibri" w:cs="Calibri"/>
        </w:rPr>
        <w:t>This is because the</w:t>
      </w:r>
      <w:r>
        <w:rPr>
          <w:rFonts w:ascii="Calibri" w:eastAsia="Times New Roman" w:hAnsi="Calibri" w:cs="Calibri"/>
        </w:rPr>
        <w:t xml:space="preserve"> relation of </w:t>
      </w:r>
      <w:r w:rsidR="00193EBA">
        <w:rPr>
          <w:rFonts w:ascii="Calibri" w:eastAsia="Times New Roman" w:hAnsi="Calibri" w:cs="Calibri"/>
        </w:rPr>
        <w:t xml:space="preserve">the model </w:t>
      </w:r>
      <w:r w:rsidR="004509E6">
        <w:rPr>
          <w:rFonts w:ascii="Calibri" w:eastAsia="Times New Roman" w:hAnsi="Calibri" w:cs="Calibri"/>
        </w:rPr>
        <w:t>parameterization</w:t>
      </w:r>
      <w:r>
        <w:rPr>
          <w:rFonts w:ascii="Calibri" w:eastAsia="Times New Roman" w:hAnsi="Calibri" w:cs="Calibri"/>
        </w:rPr>
        <w:t xml:space="preserve"> to </w:t>
      </w:r>
      <w:r w:rsidR="004509E6">
        <w:rPr>
          <w:rFonts w:ascii="Calibri" w:eastAsia="Times New Roman" w:hAnsi="Calibri" w:cs="Calibri"/>
        </w:rPr>
        <w:t>its behavior</w:t>
      </w:r>
      <w:r>
        <w:rPr>
          <w:rFonts w:ascii="Calibri" w:eastAsia="Times New Roman" w:hAnsi="Calibri" w:cs="Calibri"/>
        </w:rPr>
        <w:t xml:space="preserve"> </w:t>
      </w:r>
      <w:r w:rsidR="004509E6">
        <w:rPr>
          <w:rFonts w:ascii="Calibri" w:eastAsia="Times New Roman" w:hAnsi="Calibri" w:cs="Calibri"/>
        </w:rPr>
        <w:t>is often</w:t>
      </w:r>
      <w:r>
        <w:rPr>
          <w:rFonts w:ascii="Calibri" w:eastAsia="Times New Roman" w:hAnsi="Calibri" w:cs="Calibri"/>
        </w:rPr>
        <w:t xml:space="preserve"> analytically intractabl</w:t>
      </w:r>
      <w:r w:rsidR="004509E6">
        <w:rPr>
          <w:rFonts w:ascii="Calibri" w:eastAsia="Times New Roman" w:hAnsi="Calibri" w:cs="Calibri"/>
        </w:rPr>
        <w:t>e.</w:t>
      </w:r>
      <w:r>
        <w:rPr>
          <w:rFonts w:ascii="Calibri" w:eastAsia="Times New Roman" w:hAnsi="Calibri" w:cs="Calibri"/>
        </w:rPr>
        <w:t xml:space="preserve"> </w:t>
      </w:r>
      <w:r w:rsidR="004509E6">
        <w:rPr>
          <w:rFonts w:ascii="Calibri" w:eastAsia="Times New Roman" w:hAnsi="Calibri" w:cs="Calibri"/>
        </w:rPr>
        <w:t>In</w:t>
      </w:r>
      <w:r>
        <w:rPr>
          <w:rFonts w:ascii="Calibri" w:eastAsia="Times New Roman" w:hAnsi="Calibri" w:cs="Calibri"/>
        </w:rPr>
        <w:t xml:space="preserve"> </w:t>
      </w:r>
      <w:r w:rsidR="004509E6">
        <w:rPr>
          <w:rFonts w:ascii="Calibri" w:eastAsia="Times New Roman" w:hAnsi="Calibri" w:cs="Calibri"/>
        </w:rPr>
        <w:t>such</w:t>
      </w:r>
      <w:r>
        <w:rPr>
          <w:rFonts w:ascii="Calibri" w:eastAsia="Times New Roman" w:hAnsi="Calibri" w:cs="Calibri"/>
        </w:rPr>
        <w:t xml:space="preserve"> case</w:t>
      </w:r>
      <w:r w:rsidR="004509E6">
        <w:rPr>
          <w:rFonts w:ascii="Calibri" w:eastAsia="Times New Roman" w:hAnsi="Calibri" w:cs="Calibri"/>
        </w:rPr>
        <w:t>s, t</w:t>
      </w:r>
      <w:r w:rsidR="00193EBA">
        <w:rPr>
          <w:rFonts w:ascii="Calibri" w:eastAsia="Times New Roman" w:hAnsi="Calibri" w:cs="Calibri"/>
        </w:rPr>
        <w:t xml:space="preserve">heorists search for structure in simulated </w:t>
      </w:r>
      <w:r w:rsidR="004509E6">
        <w:rPr>
          <w:rFonts w:ascii="Calibri" w:eastAsia="Times New Roman" w:hAnsi="Calibri" w:cs="Calibri"/>
        </w:rPr>
        <w:t xml:space="preserve">model </w:t>
      </w:r>
      <w:r w:rsidR="00193EBA">
        <w:rPr>
          <w:rFonts w:ascii="Calibri" w:eastAsia="Times New Roman" w:hAnsi="Calibri" w:cs="Calibri"/>
        </w:rPr>
        <w:t>activity with respect to the parameters.</w:t>
      </w:r>
      <w:r w:rsidR="004509E6">
        <w:rPr>
          <w:rFonts w:ascii="Calibri" w:eastAsia="Times New Roman" w:hAnsi="Calibri" w:cs="Calibri"/>
        </w:rPr>
        <w:t xml:space="preserve">  This approach becomes computationally intractable as the number of parameters increases, and glaringly lacks a probabilistic treatment of the model.  </w:t>
      </w:r>
    </w:p>
    <w:p w:rsidR="004509E6" w:rsidRDefault="004509E6"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p>
    <w:p w:rsidR="00FF065F"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sidRPr="00B153CE">
        <w:rPr>
          <w:rFonts w:ascii="Calibri" w:eastAsia="Times New Roman" w:hAnsi="Calibri" w:cs="Calibri"/>
          <w:color w:val="000000"/>
        </w:rPr>
        <w:t xml:space="preserve">The primary focus of research in statistical neuroscience has been to develop inference methods for generative models of neural data that </w:t>
      </w:r>
      <w:r w:rsidR="004509E6">
        <w:rPr>
          <w:rFonts w:ascii="Calibri" w:eastAsia="Times New Roman" w:hAnsi="Calibri" w:cs="Calibri"/>
          <w:color w:val="000000"/>
        </w:rPr>
        <w:t>scale</w:t>
      </w:r>
      <w:r w:rsidRPr="00B153CE">
        <w:rPr>
          <w:rFonts w:ascii="Calibri" w:eastAsia="Times New Roman" w:hAnsi="Calibri" w:cs="Calibri"/>
          <w:color w:val="000000"/>
        </w:rPr>
        <w:t xml:space="preserve"> to the growing size of </w:t>
      </w:r>
      <w:r w:rsidR="00F069BA">
        <w:rPr>
          <w:rFonts w:ascii="Calibri" w:eastAsia="Times New Roman" w:hAnsi="Calibri" w:cs="Calibri"/>
          <w:color w:val="000000"/>
        </w:rPr>
        <w:t>such</w:t>
      </w:r>
      <w:r w:rsidRPr="00B153CE">
        <w:rPr>
          <w:rFonts w:ascii="Calibri" w:eastAsia="Times New Roman" w:hAnsi="Calibri" w:cs="Calibri"/>
          <w:color w:val="000000"/>
        </w:rPr>
        <w:t xml:space="preserve"> data sets.  However, these generative models</w:t>
      </w:r>
      <w:r w:rsidR="004509E6">
        <w:rPr>
          <w:rFonts w:ascii="Calibri" w:eastAsia="Times New Roman" w:hAnsi="Calibri" w:cs="Calibri"/>
          <w:color w:val="000000"/>
        </w:rPr>
        <w:t>,</w:t>
      </w:r>
      <w:r w:rsidRPr="00B153CE">
        <w:rPr>
          <w:rFonts w:ascii="Calibri" w:eastAsia="Times New Roman" w:hAnsi="Calibri" w:cs="Calibri"/>
          <w:color w:val="000000"/>
        </w:rPr>
        <w:t xml:space="preserve"> for which we have designed inference procedures</w:t>
      </w:r>
      <w:r w:rsidR="004509E6">
        <w:rPr>
          <w:rFonts w:ascii="Calibri" w:eastAsia="Times New Roman" w:hAnsi="Calibri" w:cs="Calibri"/>
          <w:color w:val="000000"/>
        </w:rPr>
        <w:t>,</w:t>
      </w:r>
      <w:r w:rsidRPr="00B153CE">
        <w:rPr>
          <w:rFonts w:ascii="Calibri" w:eastAsia="Times New Roman" w:hAnsi="Calibri" w:cs="Calibri"/>
          <w:color w:val="000000"/>
        </w:rPr>
        <w:t xml:space="preserve"> are rarely the models employed in theoretical neuroscience. </w:t>
      </w:r>
      <w:r w:rsidR="001D3FF0">
        <w:rPr>
          <w:rFonts w:ascii="Calibri" w:eastAsia="Times New Roman" w:hAnsi="Calibri" w:cs="Calibri"/>
          <w:color w:val="000000"/>
        </w:rPr>
        <w:t xml:space="preserve"> Historically, this</w:t>
      </w:r>
      <w:r w:rsidRPr="00B153CE">
        <w:rPr>
          <w:rFonts w:ascii="Calibri" w:eastAsia="Times New Roman" w:hAnsi="Calibri" w:cs="Calibri"/>
          <w:color w:val="000000"/>
        </w:rPr>
        <w:t xml:space="preserve"> model disconnect </w:t>
      </w:r>
      <w:r w:rsidR="001D3FF0">
        <w:rPr>
          <w:rFonts w:ascii="Calibri" w:eastAsia="Times New Roman" w:hAnsi="Calibri" w:cs="Calibri"/>
          <w:color w:val="000000"/>
        </w:rPr>
        <w:t xml:space="preserve">can be </w:t>
      </w:r>
      <w:r w:rsidRPr="00B153CE">
        <w:rPr>
          <w:rFonts w:ascii="Calibri" w:eastAsia="Times New Roman" w:hAnsi="Calibri" w:cs="Calibri"/>
          <w:color w:val="000000"/>
        </w:rPr>
        <w:t xml:space="preserve">due to the intractability of inference for such theoretical models.  For example, the nonlinear dynamical nature of many neural circuit models [cite] makes calculation of the likelihood function (let alone its gradient) intractable.  </w:t>
      </w:r>
      <w:r w:rsidR="007C4A6D">
        <w:rPr>
          <w:rFonts w:ascii="Calibri" w:eastAsia="Times New Roman" w:hAnsi="Calibri" w:cs="Calibri"/>
          <w:color w:val="000000"/>
        </w:rPr>
        <w:t xml:space="preserve">Encouragingly, over the past couple of years, we have seen </w:t>
      </w:r>
      <w:r w:rsidR="00FF065F">
        <w:rPr>
          <w:rFonts w:ascii="Calibri" w:eastAsia="Times New Roman" w:hAnsi="Calibri" w:cs="Calibri"/>
          <w:color w:val="000000"/>
        </w:rPr>
        <w:t xml:space="preserve">the introduction of </w:t>
      </w:r>
      <w:r w:rsidR="00FF065F">
        <w:rPr>
          <w:rFonts w:ascii="Calibri" w:eastAsia="Times New Roman" w:hAnsi="Calibri" w:cs="Calibri"/>
          <w:color w:val="000000"/>
        </w:rPr>
        <w:t xml:space="preserve">likelihood-free variational inference approaches (cite </w:t>
      </w:r>
      <w:r w:rsidR="00FF065F">
        <w:rPr>
          <w:rFonts w:ascii="Calibri" w:eastAsia="Times New Roman" w:hAnsi="Calibri" w:cs="Calibri"/>
          <w:color w:val="000000"/>
        </w:rPr>
        <w:lastRenderedPageBreak/>
        <w:t>Dustin</w:t>
      </w:r>
      <w:r w:rsidR="00BB19FF">
        <w:rPr>
          <w:rFonts w:ascii="Calibri" w:eastAsia="Times New Roman" w:hAnsi="Calibri" w:cs="Calibri"/>
          <w:color w:val="000000"/>
        </w:rPr>
        <w:t>, Alireza’s spiking network inference</w:t>
      </w:r>
      <w:r w:rsidR="00FF065F">
        <w:rPr>
          <w:rFonts w:ascii="Calibri" w:eastAsia="Times New Roman" w:hAnsi="Calibri" w:cs="Calibri"/>
          <w:color w:val="000000"/>
        </w:rPr>
        <w:t>)</w:t>
      </w:r>
      <w:r w:rsidR="00FF065F">
        <w:rPr>
          <w:rFonts w:ascii="Calibri" w:eastAsia="Times New Roman" w:hAnsi="Calibri" w:cs="Calibri"/>
          <w:color w:val="000000"/>
        </w:rPr>
        <w:t xml:space="preserve"> and the use</w:t>
      </w:r>
      <w:r w:rsidR="007C4A6D">
        <w:rPr>
          <w:rFonts w:ascii="Calibri" w:eastAsia="Times New Roman" w:hAnsi="Calibri" w:cs="Calibri"/>
          <w:color w:val="000000"/>
        </w:rPr>
        <w:t xml:space="preserve"> of generative adversarial networks (cite </w:t>
      </w:r>
      <w:r w:rsidR="00FF065F">
        <w:rPr>
          <w:rFonts w:ascii="Calibri" w:eastAsia="Times New Roman" w:hAnsi="Calibri" w:cs="Calibri"/>
          <w:color w:val="000000"/>
        </w:rPr>
        <w:t>Y</w:t>
      </w:r>
      <w:r w:rsidR="007C4A6D">
        <w:rPr>
          <w:rFonts w:ascii="Calibri" w:eastAsia="Times New Roman" w:hAnsi="Calibri" w:cs="Calibri"/>
          <w:color w:val="000000"/>
        </w:rPr>
        <w:t xml:space="preserve">ashar) </w:t>
      </w:r>
      <w:r w:rsidR="00FF065F">
        <w:rPr>
          <w:rFonts w:ascii="Calibri" w:eastAsia="Times New Roman" w:hAnsi="Calibri" w:cs="Calibri"/>
          <w:color w:val="000000"/>
        </w:rPr>
        <w:t>for learning model parameterizations that produce observed data points in this intractable likelihood function setting.</w:t>
      </w:r>
      <w:r w:rsidR="00F821D1">
        <w:rPr>
          <w:rFonts w:ascii="Calibri" w:eastAsia="Times New Roman" w:hAnsi="Calibri" w:cs="Calibri"/>
          <w:color w:val="000000"/>
        </w:rPr>
        <w:t xml:space="preserve"> </w:t>
      </w:r>
      <w:r w:rsidR="001D3FF0">
        <w:rPr>
          <w:rFonts w:ascii="Calibri" w:eastAsia="Times New Roman" w:hAnsi="Calibri" w:cs="Calibri"/>
          <w:color w:val="000000"/>
        </w:rPr>
        <w:t xml:space="preserve"> </w:t>
      </w:r>
      <w:r w:rsidR="001532AB">
        <w:rPr>
          <w:rFonts w:ascii="Calibri" w:eastAsia="Times New Roman" w:hAnsi="Calibri" w:cs="Calibri"/>
          <w:color w:val="000000"/>
        </w:rPr>
        <w:t xml:space="preserve">Even so, there is still a considerable amount of work to be done tailoring these effective machine learning methods to the needs of theorists. </w:t>
      </w:r>
      <w:r w:rsidR="001D3FF0">
        <w:rPr>
          <w:rFonts w:ascii="Calibri" w:eastAsia="Times New Roman" w:hAnsi="Calibri" w:cs="Calibri"/>
          <w:color w:val="000000"/>
        </w:rPr>
        <w:t xml:space="preserve">  </w:t>
      </w:r>
    </w:p>
    <w:p w:rsidR="00FF065F" w:rsidRDefault="00FF065F"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p>
    <w:p w:rsidR="00B153CE" w:rsidRPr="00B153CE" w:rsidRDefault="001532AB"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Pr>
          <w:rFonts w:ascii="Calibri" w:eastAsia="Times New Roman" w:hAnsi="Calibri" w:cs="Calibri"/>
          <w:color w:val="000000"/>
        </w:rPr>
        <w:t>Importantly, we</w:t>
      </w:r>
      <w:r w:rsidR="00F821D1">
        <w:rPr>
          <w:rFonts w:ascii="Calibri" w:eastAsia="Times New Roman" w:hAnsi="Calibri" w:cs="Calibri"/>
          <w:color w:val="000000"/>
        </w:rPr>
        <w:t xml:space="preserve"> </w:t>
      </w:r>
      <w:r w:rsidR="001D3FF0">
        <w:rPr>
          <w:rFonts w:ascii="Calibri" w:eastAsia="Times New Roman" w:hAnsi="Calibri" w:cs="Calibri"/>
          <w:color w:val="000000"/>
        </w:rPr>
        <w:t>point out</w:t>
      </w:r>
      <w:r w:rsidR="00F821D1">
        <w:rPr>
          <w:rFonts w:ascii="Calibri" w:eastAsia="Times New Roman" w:hAnsi="Calibri" w:cs="Calibri"/>
          <w:color w:val="000000"/>
        </w:rPr>
        <w:t xml:space="preserve"> that this disconnect between the generative models used in statistical and theoretical neuroscience research is not simply tractability vs intractability of inference, but </w:t>
      </w:r>
      <w:r>
        <w:rPr>
          <w:rFonts w:ascii="Calibri" w:eastAsia="Times New Roman" w:hAnsi="Calibri" w:cs="Calibri"/>
          <w:color w:val="000000"/>
        </w:rPr>
        <w:t>arises primarily from the</w:t>
      </w:r>
      <w:r w:rsidR="00F821D1">
        <w:rPr>
          <w:rFonts w:ascii="Calibri" w:eastAsia="Times New Roman" w:hAnsi="Calibri" w:cs="Calibri"/>
          <w:color w:val="000000"/>
        </w:rPr>
        <w:t xml:space="preserve"> data-agnostic nature of much work in theoretical neuroscience.  </w:t>
      </w:r>
      <w:r>
        <w:rPr>
          <w:rFonts w:ascii="Calibri" w:eastAsia="Times New Roman" w:hAnsi="Calibri" w:cs="Calibri"/>
          <w:color w:val="000000"/>
        </w:rPr>
        <w:t xml:space="preserve">Certainly, theorists are cognizant of the neural data that goes into scientific findings, and that motivates the definition of their research questions.  These findings allow the definition of emergent properties of neural activity, which are a satisfactory substitute for data points collected in an experiment when working with such complex, abstract theoretical models.  </w:t>
      </w:r>
      <w:r w:rsidR="00DF5CA8">
        <w:rPr>
          <w:rFonts w:ascii="Calibri" w:eastAsia="Times New Roman" w:hAnsi="Calibri" w:cs="Calibri"/>
          <w:color w:val="000000"/>
        </w:rPr>
        <w:t>Statistical machine learning is largely focused on algorithms for inference on a generative model given a collection of its observations, not an emergent property: a more abstract specification of the statistics of its observations.  Here, we</w:t>
      </w:r>
      <w:r w:rsidR="00B153CE" w:rsidRPr="00B153CE">
        <w:rPr>
          <w:rFonts w:ascii="Calibri" w:eastAsia="Times New Roman" w:hAnsi="Calibri" w:cs="Calibri"/>
          <w:color w:val="000000"/>
        </w:rPr>
        <w:t xml:space="preserve"> introduce a novel approach to learning in </w:t>
      </w:r>
      <w:r>
        <w:rPr>
          <w:rFonts w:ascii="Calibri" w:eastAsia="Times New Roman" w:hAnsi="Calibri" w:cs="Calibri"/>
          <w:color w:val="000000"/>
        </w:rPr>
        <w:t>likelihood-free</w:t>
      </w:r>
      <w:r w:rsidR="00B153CE" w:rsidRPr="00B153CE">
        <w:rPr>
          <w:rFonts w:ascii="Calibri" w:eastAsia="Times New Roman" w:hAnsi="Calibri" w:cs="Calibri"/>
          <w:color w:val="000000"/>
        </w:rPr>
        <w:t xml:space="preserve"> models, degenerate solution networks (DSNs), which learn the full (maximum entropy) distribution of model parameters that result in an emergent property of interest.</w:t>
      </w:r>
    </w:p>
    <w:p w:rsid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B19FF" w:rsidRPr="00B153CE" w:rsidRDefault="00BB19FF"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Pr>
          <w:rFonts w:ascii="Calibri" w:eastAsia="Times New Roman" w:hAnsi="Calibri" w:cs="Calibri"/>
        </w:rPr>
        <w:t>(add more pu</w:t>
      </w:r>
      <w:bookmarkStart w:id="0" w:name="_GoBack"/>
      <w:bookmarkEnd w:id="0"/>
      <w:r>
        <w:rPr>
          <w:rFonts w:ascii="Calibri" w:eastAsia="Times New Roman" w:hAnsi="Calibri" w:cs="Calibri"/>
        </w:rPr>
        <w:t>nchline stuff to this para)</w:t>
      </w:r>
    </w:p>
    <w:p w:rsidR="00B153CE" w:rsidRPr="00B153CE" w:rsidRDefault="00DF5CA8"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Pr>
          <w:rFonts w:ascii="Calibri" w:eastAsia="Times New Roman" w:hAnsi="Calibri" w:cs="Calibri"/>
          <w:color w:val="000000"/>
        </w:rPr>
        <w:t>In this study, w</w:t>
      </w:r>
      <w:r w:rsidR="00B153CE" w:rsidRPr="00B153CE">
        <w:rPr>
          <w:rFonts w:ascii="Calibri" w:eastAsia="Times New Roman" w:hAnsi="Calibri" w:cs="Calibri"/>
          <w:color w:val="000000"/>
        </w:rPr>
        <w:t>e demonstrate how DSNs facilitate exploratory analyses, scientific hypothesis testing, and experimental design beyond modern practices in models of the stomatogastric ganglion (STG), primary visual cortex (V1), superior colliculus (SC), and recurrent neural networks (RNNs).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\section{Results}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\subsection{Inverting neural models given their emergent properties.}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00"/>
        </w:rPr>
        <w:t>More text about why this is useful and important.</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00"/>
        </w:rPr>
        <w:t xml:space="preserve">The big figure at the beginning </w:t>
      </w:r>
      <w:r w:rsidRPr="00B153CE">
        <w:rPr>
          <w:rFonts w:ascii="Calibri" w:eastAsia="Times New Roman" w:hAnsi="Calibri" w:cs="Calibri"/>
          <w:color w:val="800000"/>
        </w:rPr>
        <w:t>\\</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\includegraphics</w:t>
      </w:r>
      <w:r w:rsidRPr="00B153CE">
        <w:rPr>
          <w:rFonts w:ascii="Calibri" w:eastAsia="Times New Roman" w:hAnsi="Calibri" w:cs="Calibri"/>
          <w:color w:val="000000"/>
        </w:rPr>
        <w:t>[scale=0.2]{figs/fig1/fig1.pdf}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800000"/>
        </w:rPr>
        <w:t>\caption</w:t>
      </w:r>
      <w:r w:rsidRPr="00B153CE">
        <w:rPr>
          <w:rFonts w:ascii="Calibri" w:eastAsia="Times New Roman" w:hAnsi="Calibri" w:cs="Calibri"/>
          <w:color w:val="000000"/>
        </w:rPr>
        <w:t>{blah blah blah}</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\subsection{Stomatogastric ganglion}</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\includegraphics</w:t>
      </w:r>
      <w:r w:rsidRPr="00B153CE">
        <w:rPr>
          <w:rFonts w:ascii="Calibri" w:eastAsia="Times New Roman" w:hAnsi="Calibri" w:cs="Calibri"/>
          <w:color w:val="000000"/>
        </w:rPr>
        <w:t>[scale=0.4]{figs/fig2/fig2.pdf}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800000"/>
        </w:rPr>
        <w:t>\caption</w:t>
      </w:r>
      <w:r w:rsidRPr="00B153CE">
        <w:rPr>
          <w:rFonts w:ascii="Calibri" w:eastAsia="Times New Roman" w:hAnsi="Calibri" w:cs="Calibri"/>
          <w:color w:val="000000"/>
        </w:rPr>
        <w:t>{STG figure. Also what a DSN does...}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\subsection{Primary visual cortex}</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\includegraphics</w:t>
      </w:r>
      <w:r w:rsidRPr="00B153CE">
        <w:rPr>
          <w:rFonts w:ascii="Calibri" w:eastAsia="Times New Roman" w:hAnsi="Calibri" w:cs="Calibri"/>
          <w:color w:val="000000"/>
        </w:rPr>
        <w:t>[scale=0.35]{figs/fig3/fig3.pdf}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800000"/>
        </w:rPr>
        <w:t>\caption</w:t>
      </w:r>
      <w:r w:rsidRPr="00B153CE">
        <w:rPr>
          <w:rFonts w:ascii="Calibri" w:eastAsia="Times New Roman" w:hAnsi="Calibri" w:cs="Calibri"/>
          <w:color w:val="000000"/>
        </w:rPr>
        <w:t>{V1 stuff}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\subsection{Superior colliculus}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\includegraphics</w:t>
      </w:r>
      <w:r w:rsidRPr="00B153CE">
        <w:rPr>
          <w:rFonts w:ascii="Calibri" w:eastAsia="Times New Roman" w:hAnsi="Calibri" w:cs="Calibri"/>
          <w:color w:val="000000"/>
        </w:rPr>
        <w:t>[scale=0.4]{figs/fig4/fig4.pdf}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800000"/>
        </w:rPr>
        <w:t>\caption</w:t>
      </w:r>
      <w:r w:rsidRPr="00B153CE">
        <w:rPr>
          <w:rFonts w:ascii="Calibri" w:eastAsia="Times New Roman" w:hAnsi="Calibri" w:cs="Calibri"/>
          <w:color w:val="000000"/>
        </w:rPr>
        <w:t>{SC stuff}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\subsection{Computation in low-rank RNNs}</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\begin</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\includegraphics</w:t>
      </w:r>
      <w:r w:rsidRPr="00B153CE">
        <w:rPr>
          <w:rFonts w:ascii="Calibri" w:eastAsia="Times New Roman" w:hAnsi="Calibri" w:cs="Calibri"/>
          <w:color w:val="000000"/>
        </w:rPr>
        <w:t>[scale=0.4]{figs/fig5/fig5.pdf}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800000"/>
        </w:rPr>
        <w:t>\caption</w:t>
      </w:r>
      <w:r w:rsidRPr="00B153CE">
        <w:rPr>
          <w:rFonts w:ascii="Calibri" w:eastAsia="Times New Roman" w:hAnsi="Calibri" w:cs="Calibri"/>
          <w:color w:val="000000"/>
        </w:rPr>
        <w:t>{Low-rank RNN stuff}</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{center}</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color w:val="0000CC"/>
        </w:rPr>
        <w:t>\end</w:t>
      </w:r>
      <w:r w:rsidRPr="00B153CE">
        <w:rPr>
          <w:rFonts w:ascii="Calibri" w:eastAsia="Times New Roman" w:hAnsi="Calibri" w:cs="Calibri"/>
          <w:color w:val="000000"/>
        </w:rPr>
        <w:t>{figure}</w:t>
      </w: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B153CE" w:rsidRPr="00B153CE" w:rsidRDefault="00B153CE" w:rsidP="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B153CE">
        <w:rPr>
          <w:rFonts w:ascii="Calibri" w:eastAsia="Times New Roman" w:hAnsi="Calibri" w:cs="Calibri"/>
          <w:b/>
          <w:bCs/>
          <w:color w:val="0000CC"/>
        </w:rPr>
        <w:t>\section{Conclusion}</w:t>
      </w:r>
    </w:p>
    <w:p w:rsidR="00853CAD" w:rsidRPr="00B153CE" w:rsidRDefault="00853CAD" w:rsidP="00B153CE">
      <w:pPr>
        <w:rPr>
          <w:rFonts w:ascii="Calibri" w:hAnsi="Calibri" w:cs="Calibri"/>
        </w:rPr>
      </w:pPr>
    </w:p>
    <w:sectPr w:rsidR="00853CAD" w:rsidRPr="00B153CE"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13FD4"/>
    <w:multiLevelType w:val="hybridMultilevel"/>
    <w:tmpl w:val="33A48488"/>
    <w:lvl w:ilvl="0" w:tplc="0E7AA66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5E"/>
    <w:rsid w:val="0009195E"/>
    <w:rsid w:val="00095E5E"/>
    <w:rsid w:val="001415E3"/>
    <w:rsid w:val="001532AB"/>
    <w:rsid w:val="00193EBA"/>
    <w:rsid w:val="001D3FF0"/>
    <w:rsid w:val="00317DF9"/>
    <w:rsid w:val="00337ECE"/>
    <w:rsid w:val="003B199A"/>
    <w:rsid w:val="004509E6"/>
    <w:rsid w:val="00515531"/>
    <w:rsid w:val="00584FC1"/>
    <w:rsid w:val="005F7380"/>
    <w:rsid w:val="00671044"/>
    <w:rsid w:val="00772664"/>
    <w:rsid w:val="007C4A6D"/>
    <w:rsid w:val="00843253"/>
    <w:rsid w:val="008521B3"/>
    <w:rsid w:val="00853CAD"/>
    <w:rsid w:val="0095090E"/>
    <w:rsid w:val="009A62CA"/>
    <w:rsid w:val="009F37E8"/>
    <w:rsid w:val="00B153CE"/>
    <w:rsid w:val="00B5075D"/>
    <w:rsid w:val="00BB19FF"/>
    <w:rsid w:val="00BD727E"/>
    <w:rsid w:val="00C210B2"/>
    <w:rsid w:val="00CC790C"/>
    <w:rsid w:val="00DF5CA8"/>
    <w:rsid w:val="00F069BA"/>
    <w:rsid w:val="00F80FB8"/>
    <w:rsid w:val="00F821D1"/>
    <w:rsid w:val="00FF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54EFFC86-0FA1-3F48-8ED5-34BD55F4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3CE"/>
    <w:rPr>
      <w:rFonts w:ascii="Courier New" w:eastAsia="Times New Roman" w:hAnsi="Courier New" w:cs="Courier New"/>
      <w:sz w:val="20"/>
      <w:szCs w:val="20"/>
    </w:rPr>
  </w:style>
  <w:style w:type="paragraph" w:styleId="ListParagraph">
    <w:name w:val="List Paragraph"/>
    <w:basedOn w:val="Normal"/>
    <w:uiPriority w:val="34"/>
    <w:qFormat/>
    <w:rsid w:val="007C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2</cp:revision>
  <dcterms:created xsi:type="dcterms:W3CDTF">2019-05-14T23:53:00Z</dcterms:created>
  <dcterms:modified xsi:type="dcterms:W3CDTF">2019-05-16T02:07:00Z</dcterms:modified>
</cp:coreProperties>
</file>