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sign-approach"/>
    <w:p>
      <w:pPr>
        <w:pStyle w:val="Heading1"/>
      </w:pPr>
      <w:r>
        <w:t xml:space="preserve">Design Approach</w:t>
      </w:r>
    </w:p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Create a self-service Merchant Readiness Assessment that provides genuine value before asking a merchant to schedule a sales call.</w:t>
      </w:r>
    </w:p>
    <w:bookmarkEnd w:id="20"/>
    <w:bookmarkStart w:id="21" w:name="primary-audience"/>
    <w:p>
      <w:pPr>
        <w:pStyle w:val="Heading2"/>
      </w:pPr>
      <w:r>
        <w:t xml:space="preserve">Primary Audience</w:t>
      </w:r>
    </w:p>
    <w:p>
      <w:pPr>
        <w:pStyle w:val="Compact"/>
        <w:numPr>
          <w:ilvl w:val="0"/>
          <w:numId w:val="1001"/>
        </w:numPr>
      </w:pPr>
      <w:r>
        <w:t xml:space="preserve">Prospective merchants</w:t>
      </w:r>
    </w:p>
    <w:p>
      <w:pPr>
        <w:pStyle w:val="Compact"/>
        <w:numPr>
          <w:ilvl w:val="0"/>
          <w:numId w:val="1001"/>
        </w:numPr>
      </w:pPr>
      <w:r>
        <w:t xml:space="preserve">Sales engineers</w:t>
      </w:r>
    </w:p>
    <w:p>
      <w:pPr>
        <w:pStyle w:val="Compact"/>
        <w:numPr>
          <w:ilvl w:val="0"/>
          <w:numId w:val="1001"/>
        </w:numPr>
      </w:pPr>
      <w:r>
        <w:t xml:space="preserve">Customer success</w:t>
      </w:r>
    </w:p>
    <w:bookmarkEnd w:id="21"/>
    <w:bookmarkStart w:id="22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2"/>
        </w:numPr>
      </w:pPr>
      <w:r>
        <w:t xml:space="preserve">Outcome first</w:t>
      </w:r>
    </w:p>
    <w:p>
      <w:pPr>
        <w:pStyle w:val="Compact"/>
        <w:numPr>
          <w:ilvl w:val="0"/>
          <w:numId w:val="1002"/>
        </w:numPr>
      </w:pPr>
      <w:r>
        <w:t xml:space="preserve">Transparent scoring</w:t>
      </w:r>
    </w:p>
    <w:p>
      <w:pPr>
        <w:pStyle w:val="Compact"/>
        <w:numPr>
          <w:ilvl w:val="0"/>
          <w:numId w:val="1002"/>
        </w:numPr>
      </w:pPr>
      <w:r>
        <w:t xml:space="preserve">Actionable recommendations</w:t>
      </w:r>
    </w:p>
    <w:p>
      <w:pPr>
        <w:pStyle w:val="Compact"/>
        <w:numPr>
          <w:ilvl w:val="0"/>
          <w:numId w:val="1002"/>
        </w:numPr>
      </w:pPr>
      <w:r>
        <w:t xml:space="preserve">Trust before conversion</w:t>
      </w:r>
    </w:p>
    <w:p>
      <w:pPr>
        <w:pStyle w:val="Compact"/>
        <w:numPr>
          <w:ilvl w:val="0"/>
          <w:numId w:val="1002"/>
        </w:numPr>
      </w:pPr>
      <w:r>
        <w:t xml:space="preserve">Progressive disclosure</w:t>
      </w:r>
    </w:p>
    <w:bookmarkEnd w:id="22"/>
    <w:bookmarkStart w:id="23" w:name="ux-flow"/>
    <w:p>
      <w:pPr>
        <w:pStyle w:val="Heading2"/>
      </w:pPr>
      <w:r>
        <w:t xml:space="preserve">UX Flow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 Wizard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Score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Shareable Report</w:t>
      </w:r>
    </w:p>
    <w:bookmarkEnd w:id="23"/>
    <w:bookmarkStart w:id="24" w:name="assessment-sections"/>
    <w:p>
      <w:pPr>
        <w:pStyle w:val="Heading2"/>
      </w:pPr>
      <w:r>
        <w:t xml:space="preserve">Assessment Sections</w:t>
      </w:r>
    </w:p>
    <w:p>
      <w:pPr>
        <w:pStyle w:val="Compact"/>
        <w:numPr>
          <w:ilvl w:val="0"/>
          <w:numId w:val="1003"/>
        </w:numPr>
      </w:pPr>
      <w:r>
        <w:t xml:space="preserve">Business</w:t>
      </w:r>
    </w:p>
    <w:p>
      <w:pPr>
        <w:pStyle w:val="Compact"/>
        <w:numPr>
          <w:ilvl w:val="0"/>
          <w:numId w:val="1003"/>
        </w:numPr>
      </w:pPr>
      <w:r>
        <w:t xml:space="preserve">Catalog</w:t>
      </w:r>
    </w:p>
    <w:p>
      <w:pPr>
        <w:pStyle w:val="Compact"/>
        <w:numPr>
          <w:ilvl w:val="0"/>
          <w:numId w:val="1003"/>
        </w:numPr>
      </w:pPr>
      <w:r>
        <w:t xml:space="preserve">Return Policy</w:t>
      </w:r>
    </w:p>
    <w:p>
      <w:pPr>
        <w:pStyle w:val="Compact"/>
        <w:numPr>
          <w:ilvl w:val="0"/>
          <w:numId w:val="1003"/>
        </w:numPr>
      </w:pPr>
      <w:r>
        <w:t xml:space="preserve">Exchanges</w:t>
      </w:r>
    </w:p>
    <w:p>
      <w:pPr>
        <w:pStyle w:val="Compact"/>
        <w:numPr>
          <w:ilvl w:val="0"/>
          <w:numId w:val="1003"/>
        </w:numPr>
      </w:pPr>
      <w:r>
        <w:t xml:space="preserve">Manual Operations</w:t>
      </w:r>
    </w:p>
    <w:p>
      <w:pPr>
        <w:pStyle w:val="Compact"/>
        <w:numPr>
          <w:ilvl w:val="0"/>
          <w:numId w:val="1003"/>
        </w:numPr>
      </w:pPr>
      <w:r>
        <w:t xml:space="preserve">Platform</w:t>
      </w:r>
    </w:p>
    <w:bookmarkEnd w:id="24"/>
    <w:bookmarkStart w:id="25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Show</w:t>
      </w:r>
    </w:p>
    <w:p>
      <w:pPr>
        <w:pStyle w:val="Compact"/>
        <w:numPr>
          <w:ilvl w:val="0"/>
          <w:numId w:val="1004"/>
        </w:numPr>
      </w:pPr>
      <w:r>
        <w:t xml:space="preserve">Readiness Score</w:t>
      </w:r>
    </w:p>
    <w:p>
      <w:pPr>
        <w:pStyle w:val="Compact"/>
        <w:numPr>
          <w:ilvl w:val="0"/>
          <w:numId w:val="1004"/>
        </w:numPr>
      </w:pPr>
      <w:r>
        <w:t xml:space="preserve">Score Breakdown</w:t>
      </w:r>
    </w:p>
    <w:p>
      <w:pPr>
        <w:pStyle w:val="Compact"/>
        <w:numPr>
          <w:ilvl w:val="0"/>
          <w:numId w:val="1004"/>
        </w:numPr>
      </w:pPr>
      <w:r>
        <w:t xml:space="preserve">Top Opportunities</w:t>
      </w:r>
    </w:p>
    <w:p>
      <w:pPr>
        <w:pStyle w:val="Compact"/>
        <w:numPr>
          <w:ilvl w:val="0"/>
          <w:numId w:val="1004"/>
        </w:numPr>
      </w:pPr>
      <w:r>
        <w:t xml:space="preserve">Recommended Actions</w:t>
      </w:r>
    </w:p>
    <w:p>
      <w:pPr>
        <w:pStyle w:val="Compact"/>
        <w:numPr>
          <w:ilvl w:val="0"/>
          <w:numId w:val="1004"/>
        </w:numPr>
      </w:pPr>
      <w:r>
        <w:t xml:space="preserve">Capability Mapping</w:t>
      </w:r>
    </w:p>
    <w:p>
      <w:pPr>
        <w:pStyle w:val="FirstParagraph"/>
      </w:pPr>
      <w:r>
        <w:t xml:space="preserve">Use clean SaaS dashboards with cards, score rings, progress bars and responsive layouts.</w:t>
      </w:r>
    </w:p>
    <w:p>
      <w:pPr>
        <w:pStyle w:val="BodyText"/>
      </w:pPr>
      <w:r>
        <w:t xml:space="preserve">Frontend stack:</w:t>
      </w:r>
    </w:p>
    <w:p>
      <w:pPr>
        <w:pStyle w:val="Compact"/>
        <w:numPr>
          <w:ilvl w:val="0"/>
          <w:numId w:val="1005"/>
        </w:numPr>
      </w:pPr>
      <w:r>
        <w:t xml:space="preserve">Vue</w:t>
      </w:r>
    </w:p>
    <w:p>
      <w:pPr>
        <w:pStyle w:val="Compact"/>
        <w:numPr>
          <w:ilvl w:val="0"/>
          <w:numId w:val="1005"/>
        </w:numPr>
      </w:pPr>
      <w:r>
        <w:t xml:space="preserve">Inertia</w:t>
      </w:r>
    </w:p>
    <w:p>
      <w:pPr>
        <w:pStyle w:val="Compact"/>
        <w:numPr>
          <w:ilvl w:val="0"/>
          <w:numId w:val="1005"/>
        </w:numPr>
      </w:pPr>
      <w:r>
        <w:t xml:space="preserve">Tailwind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2026-07-08T16:32:54Z</dcterms:created>
  <dcterms:modified xsi:type="dcterms:W3CDTF">2026-07-08T16:32:54Z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