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7397" w14:textId="01E40A98" w:rsidR="00BC0A67" w:rsidRDefault="00FB4CBB">
      <w:pPr>
        <w:rPr>
          <w:rFonts w:ascii="Times New Roman" w:hAnsi="Times New Roman" w:cs="Times New Roman"/>
        </w:rPr>
      </w:pPr>
      <w:r w:rsidRPr="00FB4CBB">
        <w:rPr>
          <w:rFonts w:ascii="Times New Roman" w:hAnsi="Times New Roman" w:cs="Times New Roman"/>
        </w:rPr>
        <w:t>Task 1:</w:t>
      </w:r>
    </w:p>
    <w:p w14:paraId="1A8904CE" w14:textId="1B4F7067" w:rsidR="00FB4CBB" w:rsidRPr="00FB4CBB" w:rsidRDefault="00FB4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</w:t>
      </w:r>
    </w:p>
    <w:p w14:paraId="54C97F71" w14:textId="77777777" w:rsidR="00FB4CBB" w:rsidRDefault="00FB4CBB" w:rsidP="00D267F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FB4CBB">
        <w:rPr>
          <w:rFonts w:ascii="Times New Roman" w:hAnsi="Times New Roman" w:cs="Times New Roman"/>
        </w:rPr>
        <w:t xml:space="preserve">We trimmed whitespace with quotes. We did this to ultimately standardize the categorical strings </w:t>
      </w:r>
      <w:proofErr w:type="gramStart"/>
      <w:r w:rsidRPr="00FB4CBB">
        <w:rPr>
          <w:rFonts w:ascii="Times New Roman" w:hAnsi="Times New Roman" w:cs="Times New Roman"/>
        </w:rPr>
        <w:t>in order to</w:t>
      </w:r>
      <w:proofErr w:type="gramEnd"/>
      <w:r w:rsidRPr="00FB4CBB">
        <w:rPr>
          <w:rFonts w:ascii="Times New Roman" w:hAnsi="Times New Roman" w:cs="Times New Roman"/>
        </w:rPr>
        <w:t xml:space="preserve"> transform them into factors. Subsequently, this allows for one hot encoding those columns for input into the models. Without the factor </w:t>
      </w:r>
      <w:proofErr w:type="gramStart"/>
      <w:r w:rsidRPr="00FB4CBB">
        <w:rPr>
          <w:rFonts w:ascii="Times New Roman" w:hAnsi="Times New Roman" w:cs="Times New Roman"/>
        </w:rPr>
        <w:t>columns and</w:t>
      </w:r>
      <w:proofErr w:type="gramEnd"/>
      <w:r w:rsidRPr="00FB4CBB">
        <w:rPr>
          <w:rFonts w:ascii="Times New Roman" w:hAnsi="Times New Roman" w:cs="Times New Roman"/>
        </w:rPr>
        <w:t xml:space="preserve"> we could not use those columns either in the t-SNE or the actual classification algorithms.</w:t>
      </w:r>
    </w:p>
    <w:p w14:paraId="0A2AAE5C" w14:textId="23571233" w:rsidR="00FB4CBB" w:rsidRDefault="00FB4CBB" w:rsidP="00D267F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filled null values with means for numeric columns and modes for factor columns. Using mode and </w:t>
      </w:r>
      <w:proofErr w:type="gramStart"/>
      <w:r>
        <w:rPr>
          <w:rFonts w:ascii="Times New Roman" w:hAnsi="Times New Roman" w:cs="Times New Roman"/>
        </w:rPr>
        <w:t>median</w:t>
      </w:r>
      <w:proofErr w:type="gramEnd"/>
      <w:r>
        <w:rPr>
          <w:rFonts w:ascii="Times New Roman" w:hAnsi="Times New Roman" w:cs="Times New Roman"/>
        </w:rPr>
        <w:t xml:space="preserve"> for the respective columns allows us to capture the central tendency of the data. This avoids unnecessary complexity and artificial values.</w:t>
      </w:r>
      <w:r w:rsidR="0012225E">
        <w:rPr>
          <w:rFonts w:ascii="Times New Roman" w:hAnsi="Times New Roman" w:cs="Times New Roman"/>
        </w:rPr>
        <w:t xml:space="preserve"> More importantly this preprocess is necessary </w:t>
      </w:r>
      <w:proofErr w:type="gramStart"/>
      <w:r w:rsidR="0012225E">
        <w:rPr>
          <w:rFonts w:ascii="Times New Roman" w:hAnsi="Times New Roman" w:cs="Times New Roman"/>
        </w:rPr>
        <w:t>in order for</w:t>
      </w:r>
      <w:proofErr w:type="gramEnd"/>
      <w:r w:rsidR="0012225E">
        <w:rPr>
          <w:rFonts w:ascii="Times New Roman" w:hAnsi="Times New Roman" w:cs="Times New Roman"/>
        </w:rPr>
        <w:t xml:space="preserve"> the models to run in r code.</w:t>
      </w:r>
    </w:p>
    <w:p w14:paraId="3D04620E" w14:textId="77777777" w:rsidR="00FB4CBB" w:rsidRDefault="00FB4CBB" w:rsidP="00FB4CBB">
      <w:pPr>
        <w:rPr>
          <w:rFonts w:ascii="Times New Roman" w:hAnsi="Times New Roman" w:cs="Times New Roman"/>
        </w:rPr>
      </w:pPr>
    </w:p>
    <w:p w14:paraId="407D7974" w14:textId="77777777" w:rsidR="00FB4CBB" w:rsidRDefault="00FB4CBB" w:rsidP="00FB4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</w:t>
      </w:r>
    </w:p>
    <w:p w14:paraId="0B0A2E05" w14:textId="4EDDE7A5" w:rsidR="00FB4CBB" w:rsidRDefault="000F1D11" w:rsidP="00FB4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t-SNE plot shows substantial overlap between good and bad credit classes. Therefor there are limitations on the accuracy of the models before running them. It </w:t>
      </w:r>
      <w:proofErr w:type="gramStart"/>
      <w:r>
        <w:rPr>
          <w:rFonts w:ascii="Times New Roman" w:hAnsi="Times New Roman" w:cs="Times New Roman"/>
        </w:rPr>
        <w:t>wont</w:t>
      </w:r>
      <w:proofErr w:type="gramEnd"/>
      <w:r>
        <w:rPr>
          <w:rFonts w:ascii="Times New Roman" w:hAnsi="Times New Roman" w:cs="Times New Roman"/>
        </w:rPr>
        <w:t xml:space="preserve"> be easy for </w:t>
      </w:r>
      <w:proofErr w:type="gramStart"/>
      <w:r>
        <w:rPr>
          <w:rFonts w:ascii="Times New Roman" w:hAnsi="Times New Roman" w:cs="Times New Roman"/>
        </w:rPr>
        <w:t>this models</w:t>
      </w:r>
      <w:proofErr w:type="gramEnd"/>
      <w:r>
        <w:rPr>
          <w:rFonts w:ascii="Times New Roman" w:hAnsi="Times New Roman" w:cs="Times New Roman"/>
        </w:rPr>
        <w:t xml:space="preserve"> to achieve a high accuracy score. Running the t-SNE on multiple perplexity values, at 50, there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several more clearly discernable </w:t>
      </w:r>
      <w:proofErr w:type="gramStart"/>
      <w:r>
        <w:rPr>
          <w:rFonts w:ascii="Times New Roman" w:hAnsi="Times New Roman" w:cs="Times New Roman"/>
        </w:rPr>
        <w:t>cluster</w:t>
      </w:r>
      <w:proofErr w:type="gramEnd"/>
      <w:r>
        <w:rPr>
          <w:rFonts w:ascii="Times New Roman" w:hAnsi="Times New Roman" w:cs="Times New Roman"/>
        </w:rPr>
        <w:t xml:space="preserve"> of bad and good credit. </w:t>
      </w:r>
    </w:p>
    <w:p w14:paraId="4D370993" w14:textId="77777777" w:rsidR="00C345BD" w:rsidRDefault="00C345BD" w:rsidP="00FB4CBB">
      <w:pPr>
        <w:rPr>
          <w:rFonts w:ascii="Times New Roman" w:hAnsi="Times New Roman" w:cs="Times New Roman"/>
        </w:rPr>
      </w:pPr>
    </w:p>
    <w:p w14:paraId="763D1BAB" w14:textId="556626C6" w:rsidR="00FD6BB8" w:rsidRDefault="00FD6BB8" w:rsidP="00FB4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2:</w:t>
      </w:r>
    </w:p>
    <w:p w14:paraId="1D935C19" w14:textId="1A6CF0F4" w:rsidR="00FD6BB8" w:rsidRDefault="00FD6BB8" w:rsidP="00FB4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2</w:t>
      </w:r>
    </w:p>
    <w:p w14:paraId="458E724A" w14:textId="77777777" w:rsidR="00A03989" w:rsidRPr="002867E7" w:rsidRDefault="00A03989" w:rsidP="00A0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0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Tree</w:t>
      </w:r>
      <w:r w:rsidRPr="00286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Rule Summary Table</w:t>
      </w:r>
    </w:p>
    <w:p w14:paraId="04C362BF" w14:textId="77777777" w:rsidR="00A03989" w:rsidRDefault="00A03989" w:rsidP="00A03989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94"/>
        <w:gridCol w:w="7811"/>
      </w:tblGrid>
      <w:tr w:rsidR="00A03989" w:rsidRPr="00A03989" w14:paraId="466CD81E" w14:textId="77777777" w:rsidTr="009B0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FDCAD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3B1C7E4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464E5703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Conditions</w:t>
            </w:r>
          </w:p>
        </w:tc>
      </w:tr>
      <w:tr w:rsidR="00A03989" w:rsidRPr="00A03989" w14:paraId="3EBCE725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E26B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1A15CF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64C39877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≥ 48; no known savings</w:t>
            </w:r>
          </w:p>
        </w:tc>
      </w:tr>
      <w:tr w:rsidR="00A03989" w:rsidRPr="00A03989" w14:paraId="7B6BC980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4F14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72ADE6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73861F4D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&lt; 23; no known property; non-critical credit history</w:t>
            </w:r>
          </w:p>
        </w:tc>
      </w:tr>
      <w:tr w:rsidR="00A03989" w:rsidRPr="00A03989" w14:paraId="671C9C85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2F81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15962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6A9EBF45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23–48; no known savings; credit ≥ 8,098; used car</w:t>
            </w:r>
          </w:p>
        </w:tc>
      </w:tr>
      <w:tr w:rsidR="00A03989" w:rsidRPr="00A03989" w14:paraId="796C2689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8E14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308775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70C96672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12–23; no known property; credit &lt; 1,286; no other parties; installment ≥ 3.5</w:t>
            </w:r>
          </w:p>
        </w:tc>
      </w:tr>
      <w:tr w:rsidR="00A03989" w:rsidRPr="00A03989" w14:paraId="4E11CE87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512D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AA0B7A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5187493F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23–48; no known savings; not used car; checking &lt; 200</w:t>
            </w:r>
          </w:p>
        </w:tc>
      </w:tr>
      <w:tr w:rsidR="00A03989" w:rsidRPr="00A03989" w14:paraId="61A545A5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E650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8C59AB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005896FE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≥ 23; known savings; checking not in [0,200)</w:t>
            </w:r>
          </w:p>
        </w:tc>
      </w:tr>
      <w:tr w:rsidR="00A03989" w:rsidRPr="00A03989" w14:paraId="57C7031E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B933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6696F8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52BA7FD5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12–23; no known property; credit &lt; 1,286; no other parties; installment &lt; 3.5</w:t>
            </w:r>
          </w:p>
        </w:tc>
      </w:tr>
      <w:tr w:rsidR="00A03989" w:rsidRPr="00A03989" w14:paraId="7FB471E2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6F97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F8B798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18A7FD7D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12–23; no known property; credit ≥ 1,286</w:t>
            </w:r>
          </w:p>
        </w:tc>
      </w:tr>
      <w:tr w:rsidR="00A03989" w:rsidRPr="00A03989" w14:paraId="1216BAF5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E443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1EAD3D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45E8E144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&lt; 23; no known property; critical credit history</w:t>
            </w:r>
          </w:p>
        </w:tc>
      </w:tr>
      <w:tr w:rsidR="00A03989" w:rsidRPr="00A03989" w14:paraId="7488CE2F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06E6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885A62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E001740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23–48; no known savings; not used car; checking ≥ 200</w:t>
            </w:r>
          </w:p>
        </w:tc>
      </w:tr>
      <w:tr w:rsidR="00A03989" w:rsidRPr="00A03989" w14:paraId="1AA49097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DC68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1BC65B06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239EB578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&lt; 12; no known property</w:t>
            </w:r>
          </w:p>
        </w:tc>
      </w:tr>
      <w:tr w:rsidR="00A03989" w:rsidRPr="00A03989" w14:paraId="0198298B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BC16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7B598F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212773F4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checking account</w:t>
            </w:r>
          </w:p>
        </w:tc>
      </w:tr>
      <w:tr w:rsidR="00A03989" w:rsidRPr="00A03989" w14:paraId="617BD037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5B10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B785D0B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739620F8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12–23; no known property; credit &lt; 1,286; other parties present</w:t>
            </w:r>
          </w:p>
        </w:tc>
      </w:tr>
      <w:tr w:rsidR="00A03989" w:rsidRPr="00A03989" w14:paraId="2684214E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D36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6D4EBA6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216122E3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23–48; no known savings; credit &lt; 8,098; used car</w:t>
            </w:r>
          </w:p>
        </w:tc>
      </w:tr>
      <w:tr w:rsidR="00A03989" w:rsidRPr="00A03989" w14:paraId="52CB622C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61B6" w14:textId="77777777" w:rsidR="00A03989" w:rsidRPr="00A03989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AF75BAE" w14:textId="77777777" w:rsidR="00A03989" w:rsidRPr="00A03989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E8516DF" w14:textId="77777777" w:rsidR="00A03989" w:rsidRPr="00A03989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9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duration ≥ 23; known savings; checking in [0,200)</w:t>
            </w:r>
          </w:p>
        </w:tc>
      </w:tr>
    </w:tbl>
    <w:p w14:paraId="5F8200E2" w14:textId="77777777" w:rsidR="00A03989" w:rsidRDefault="00A03989" w:rsidP="00A03989">
      <w:pPr>
        <w:jc w:val="both"/>
        <w:rPr>
          <w:rFonts w:ascii="Times New Roman" w:hAnsi="Times New Roman" w:cs="Times New Roman"/>
        </w:rPr>
      </w:pPr>
    </w:p>
    <w:p w14:paraId="1968C235" w14:textId="77777777" w:rsidR="00A03989" w:rsidRPr="00970ACA" w:rsidRDefault="00A03989" w:rsidP="00A03989">
      <w:pPr>
        <w:jc w:val="both"/>
        <w:rPr>
          <w:rFonts w:ascii="Times New Roman" w:hAnsi="Times New Roman" w:cs="Times New Roman"/>
        </w:rPr>
      </w:pPr>
    </w:p>
    <w:p w14:paraId="62EF3881" w14:textId="77777777" w:rsidR="00A03989" w:rsidRPr="002867E7" w:rsidRDefault="00A03989" w:rsidP="00A0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0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</w:t>
      </w:r>
      <w:r w:rsidRPr="00286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Rule Summary Table</w:t>
      </w:r>
    </w:p>
    <w:p w14:paraId="0E57911F" w14:textId="77777777" w:rsidR="00A03989" w:rsidRDefault="00A03989" w:rsidP="00A03989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127"/>
        <w:gridCol w:w="6630"/>
        <w:gridCol w:w="1048"/>
      </w:tblGrid>
      <w:tr w:rsidR="00A03989" w:rsidRPr="002867E7" w14:paraId="7D2E2DA3" w14:textId="77777777" w:rsidTr="009B0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70716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B87B302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3FEB094D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Conditions</w:t>
            </w:r>
          </w:p>
        </w:tc>
        <w:tc>
          <w:tcPr>
            <w:tcW w:w="0" w:type="auto"/>
            <w:vAlign w:val="center"/>
            <w:hideMark/>
          </w:tcPr>
          <w:p w14:paraId="36D0A3F1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Coverage</w:t>
            </w:r>
          </w:p>
        </w:tc>
      </w:tr>
      <w:tr w:rsidR="00A03989" w:rsidRPr="002867E7" w14:paraId="31710448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C54A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32AA7B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7C3219A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no other payment plans; not used car; no delayed credit; no other parties; ≤1 dependent; credit ≤ 4,530; age &gt; 31</w:t>
            </w:r>
          </w:p>
        </w:tc>
        <w:tc>
          <w:tcPr>
            <w:tcW w:w="0" w:type="auto"/>
            <w:vAlign w:val="center"/>
            <w:hideMark/>
          </w:tcPr>
          <w:p w14:paraId="03ECE099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</w:t>
            </w:r>
          </w:p>
        </w:tc>
      </w:tr>
      <w:tr w:rsidR="00A03989" w:rsidRPr="002867E7" w14:paraId="502030DE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088F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5B3DF3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764719D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no other payment plans; not used car; critical credit history; owns home</w:t>
            </w:r>
          </w:p>
        </w:tc>
        <w:tc>
          <w:tcPr>
            <w:tcW w:w="0" w:type="auto"/>
            <w:vAlign w:val="center"/>
            <w:hideMark/>
          </w:tcPr>
          <w:p w14:paraId="236761D0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</w:tr>
      <w:tr w:rsidR="00A03989" w:rsidRPr="002867E7" w14:paraId="45CC5425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9959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AAF054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5D2B03E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used car; no other payment plans; some prior credit history</w:t>
            </w:r>
          </w:p>
        </w:tc>
        <w:tc>
          <w:tcPr>
            <w:tcW w:w="0" w:type="auto"/>
            <w:vAlign w:val="center"/>
            <w:hideMark/>
          </w:tcPr>
          <w:p w14:paraId="1EBFF951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</w:tr>
      <w:tr w:rsidR="00A03989" w:rsidRPr="002867E7" w14:paraId="5D345D4F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E05D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E03037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1CA6A56B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prior credit fully paid; not divorced/separated male; does not own home</w:t>
            </w:r>
          </w:p>
        </w:tc>
        <w:tc>
          <w:tcPr>
            <w:tcW w:w="0" w:type="auto"/>
            <w:vAlign w:val="center"/>
            <w:hideMark/>
          </w:tcPr>
          <w:p w14:paraId="4024C207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A03989" w:rsidRPr="002867E7" w14:paraId="69DC7091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8694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F39E4D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50CD534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employment 4–7 yrs; owns telephone</w:t>
            </w:r>
          </w:p>
        </w:tc>
        <w:tc>
          <w:tcPr>
            <w:tcW w:w="0" w:type="auto"/>
            <w:vAlign w:val="center"/>
            <w:hideMark/>
          </w:tcPr>
          <w:p w14:paraId="285BEE94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</w:tr>
      <w:tr w:rsidR="00A03989" w:rsidRPr="002867E7" w14:paraId="4F9297C8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4B7C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77A19A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67F4459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 ≤ 15; guarantor present</w:t>
            </w:r>
          </w:p>
        </w:tc>
        <w:tc>
          <w:tcPr>
            <w:tcW w:w="0" w:type="auto"/>
            <w:vAlign w:val="center"/>
            <w:hideMark/>
          </w:tcPr>
          <w:p w14:paraId="4B6DD509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</w:tr>
      <w:tr w:rsidR="00A03989" w:rsidRPr="002867E7" w14:paraId="4F6E7157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A182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A1C781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C6F5A15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Savings ≥ 1,000; not education/repairs; credit ≤ 4,530</w:t>
            </w:r>
          </w:p>
        </w:tc>
        <w:tc>
          <w:tcPr>
            <w:tcW w:w="0" w:type="auto"/>
            <w:vAlign w:val="center"/>
            <w:hideMark/>
          </w:tcPr>
          <w:p w14:paraId="06DFB6A4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</w:tr>
      <w:tr w:rsidR="00A03989" w:rsidRPr="002867E7" w14:paraId="17CCA7A0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068C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AB10F0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1B58621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checking; radio/TV purpose; ≤1 existing credit; not married/widowed male</w:t>
            </w:r>
          </w:p>
        </w:tc>
        <w:tc>
          <w:tcPr>
            <w:tcW w:w="0" w:type="auto"/>
            <w:vAlign w:val="center"/>
            <w:hideMark/>
          </w:tcPr>
          <w:p w14:paraId="1BE769A5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A03989" w:rsidRPr="002867E7" w14:paraId="5A0C0CBC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5FF2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3890F1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71D5912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Checking ≥ 200; paid credit history; installment ≤ 3</w:t>
            </w:r>
          </w:p>
        </w:tc>
        <w:tc>
          <w:tcPr>
            <w:tcW w:w="0" w:type="auto"/>
            <w:vAlign w:val="center"/>
            <w:hideMark/>
          </w:tcPr>
          <w:p w14:paraId="3BEEFA7B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A03989" w:rsidRPr="002867E7" w14:paraId="219ED447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7026" w14:textId="77777777" w:rsidR="00A03989" w:rsidRPr="002867E7" w:rsidRDefault="00A03989" w:rsidP="009B0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483235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52BACAE8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 = education; ≤2 credits; owns home; employment &lt; 4 yrs</w:t>
            </w:r>
          </w:p>
        </w:tc>
        <w:tc>
          <w:tcPr>
            <w:tcW w:w="0" w:type="auto"/>
            <w:vAlign w:val="center"/>
            <w:hideMark/>
          </w:tcPr>
          <w:p w14:paraId="63071433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</w:tbl>
    <w:p w14:paraId="654262E9" w14:textId="77777777" w:rsidR="00A03989" w:rsidRDefault="00A03989" w:rsidP="00A03989">
      <w:pPr>
        <w:jc w:val="both"/>
        <w:rPr>
          <w:rFonts w:ascii="Times New Roman" w:hAnsi="Times New Roman" w:cs="Times New Roman"/>
        </w:rPr>
      </w:pPr>
    </w:p>
    <w:p w14:paraId="3ED96A8C" w14:textId="77777777" w:rsidR="00A03989" w:rsidRDefault="00A03989" w:rsidP="00A03989">
      <w:pPr>
        <w:jc w:val="both"/>
        <w:rPr>
          <w:rFonts w:ascii="Times New Roman" w:hAnsi="Times New Roman" w:cs="Times New Roman"/>
        </w:rPr>
      </w:pPr>
    </w:p>
    <w:p w14:paraId="35D957E6" w14:textId="77777777" w:rsidR="00A03989" w:rsidRDefault="00A03989" w:rsidP="00A03989">
      <w:pPr>
        <w:jc w:val="both"/>
        <w:rPr>
          <w:rFonts w:ascii="Times New Roman" w:hAnsi="Times New Roman" w:cs="Times New Roman"/>
        </w:rPr>
      </w:pPr>
    </w:p>
    <w:p w14:paraId="6E0DE0A1" w14:textId="77777777" w:rsidR="00A03989" w:rsidRDefault="00A03989" w:rsidP="00A03989">
      <w:pPr>
        <w:jc w:val="both"/>
        <w:rPr>
          <w:rFonts w:ascii="Times New Roman" w:hAnsi="Times New Roman" w:cs="Times New Roman"/>
        </w:rPr>
      </w:pPr>
    </w:p>
    <w:p w14:paraId="256F64AB" w14:textId="77777777" w:rsidR="00A03989" w:rsidRPr="002867E7" w:rsidRDefault="00A03989" w:rsidP="00A0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86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JRip</w:t>
      </w:r>
      <w:proofErr w:type="spellEnd"/>
      <w:r w:rsidRPr="00286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(RIPPER) Classifier — Rule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438"/>
        <w:gridCol w:w="6319"/>
        <w:gridCol w:w="1048"/>
      </w:tblGrid>
      <w:tr w:rsidR="00A03989" w:rsidRPr="002867E7" w14:paraId="12A12D3B" w14:textId="77777777" w:rsidTr="009B0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5C86A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A96719B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2891451D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Conditions</w:t>
            </w:r>
          </w:p>
        </w:tc>
        <w:tc>
          <w:tcPr>
            <w:tcW w:w="0" w:type="auto"/>
            <w:vAlign w:val="center"/>
            <w:hideMark/>
          </w:tcPr>
          <w:p w14:paraId="68154266" w14:textId="77777777" w:rsidR="00A03989" w:rsidRPr="002867E7" w:rsidRDefault="00A03989" w:rsidP="009B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Coverage</w:t>
            </w:r>
          </w:p>
        </w:tc>
      </w:tr>
      <w:tr w:rsidR="00A03989" w:rsidRPr="002867E7" w14:paraId="5D76DAB0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F2AB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7A79D7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6DA10046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checking account; duration ≥ 18; credit amount ≤ 2,319</w:t>
            </w:r>
          </w:p>
        </w:tc>
        <w:tc>
          <w:tcPr>
            <w:tcW w:w="0" w:type="auto"/>
            <w:vAlign w:val="center"/>
            <w:hideMark/>
          </w:tcPr>
          <w:p w14:paraId="54946F18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</w:t>
            </w:r>
          </w:p>
        </w:tc>
      </w:tr>
      <w:tr w:rsidR="00A03989" w:rsidRPr="002867E7" w14:paraId="743D9201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6C27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231E252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1EC42893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checking account; credit amount ≥ 7,763</w:t>
            </w:r>
          </w:p>
        </w:tc>
        <w:tc>
          <w:tcPr>
            <w:tcW w:w="0" w:type="auto"/>
            <w:vAlign w:val="center"/>
            <w:hideMark/>
          </w:tcPr>
          <w:p w14:paraId="66555F80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A03989" w:rsidRPr="002867E7" w14:paraId="15EBD551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2EC4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69FF88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427CAE4B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checking account; duration ≥ 39</w:t>
            </w:r>
          </w:p>
        </w:tc>
        <w:tc>
          <w:tcPr>
            <w:tcW w:w="0" w:type="auto"/>
            <w:vAlign w:val="center"/>
            <w:hideMark/>
          </w:tcPr>
          <w:p w14:paraId="44373B54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</w:tr>
      <w:tr w:rsidR="00A03989" w:rsidRPr="002867E7" w14:paraId="66138AC9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4910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F6ACF9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2C56B535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checking account; credit ≤ 959; duration ≥ 9; no real estate property</w:t>
            </w:r>
          </w:p>
        </w:tc>
        <w:tc>
          <w:tcPr>
            <w:tcW w:w="0" w:type="auto"/>
            <w:vAlign w:val="center"/>
            <w:hideMark/>
          </w:tcPr>
          <w:p w14:paraId="1572898C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</w:tr>
      <w:tr w:rsidR="00A03989" w:rsidRPr="002867E7" w14:paraId="658CB156" w14:textId="77777777" w:rsidTr="009B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3370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82112C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(default)</w:t>
            </w:r>
          </w:p>
        </w:tc>
        <w:tc>
          <w:tcPr>
            <w:tcW w:w="0" w:type="auto"/>
            <w:vAlign w:val="center"/>
            <w:hideMark/>
          </w:tcPr>
          <w:p w14:paraId="26D9BBBF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remaining cases not covered by above rules</w:t>
            </w:r>
          </w:p>
        </w:tc>
        <w:tc>
          <w:tcPr>
            <w:tcW w:w="0" w:type="auto"/>
            <w:vAlign w:val="center"/>
            <w:hideMark/>
          </w:tcPr>
          <w:p w14:paraId="0A046468" w14:textId="77777777" w:rsidR="00A03989" w:rsidRPr="002867E7" w:rsidRDefault="00A03989" w:rsidP="009B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6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784</w:t>
            </w:r>
          </w:p>
        </w:tc>
      </w:tr>
    </w:tbl>
    <w:p w14:paraId="617C1BFD" w14:textId="77777777" w:rsidR="00A03989" w:rsidRPr="00C83BB7" w:rsidRDefault="00A03989" w:rsidP="00A03989">
      <w:pPr>
        <w:jc w:val="both"/>
        <w:rPr>
          <w:rFonts w:ascii="Times New Roman" w:hAnsi="Times New Roman" w:cs="Times New Roman"/>
        </w:rPr>
      </w:pPr>
    </w:p>
    <w:p w14:paraId="6BA52582" w14:textId="77777777" w:rsidR="00FD6BB8" w:rsidRDefault="00FD6BB8" w:rsidP="00FB4CBB">
      <w:pPr>
        <w:rPr>
          <w:rFonts w:ascii="Times New Roman" w:hAnsi="Times New Roman" w:cs="Times New Roman"/>
        </w:rPr>
      </w:pPr>
    </w:p>
    <w:p w14:paraId="542149F7" w14:textId="77777777" w:rsidR="00FD6BB8" w:rsidRDefault="00FD6BB8" w:rsidP="00FB4CBB">
      <w:pPr>
        <w:rPr>
          <w:rFonts w:ascii="Times New Roman" w:hAnsi="Times New Roman" w:cs="Times New Roman"/>
        </w:rPr>
      </w:pPr>
    </w:p>
    <w:p w14:paraId="7D4B933B" w14:textId="77777777" w:rsidR="00FD6BB8" w:rsidRDefault="00FD6BB8" w:rsidP="00FB4CBB">
      <w:pPr>
        <w:rPr>
          <w:rFonts w:ascii="Times New Roman" w:hAnsi="Times New Roman" w:cs="Times New Roman"/>
        </w:rPr>
      </w:pPr>
    </w:p>
    <w:p w14:paraId="07DBF08D" w14:textId="77777777" w:rsidR="00FD6BB8" w:rsidRDefault="00FD6BB8" w:rsidP="00FB4CBB">
      <w:pPr>
        <w:rPr>
          <w:rFonts w:ascii="Times New Roman" w:hAnsi="Times New Roman" w:cs="Times New Roman"/>
        </w:rPr>
      </w:pPr>
    </w:p>
    <w:p w14:paraId="1CD4EC44" w14:textId="39ED726B" w:rsidR="00C345BD" w:rsidRDefault="00C345BD" w:rsidP="00FB4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3:</w:t>
      </w:r>
    </w:p>
    <w:p w14:paraId="13B6C035" w14:textId="1F0DA77C" w:rsidR="00C345BD" w:rsidRDefault="00C345BD" w:rsidP="00FB4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</w:t>
      </w:r>
    </w:p>
    <w:p w14:paraId="78C65D9D" w14:textId="77777777" w:rsidR="00C83BB7" w:rsidRDefault="00C345BD" w:rsidP="00FB4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14A6A">
        <w:rPr>
          <w:rFonts w:ascii="Times New Roman" w:hAnsi="Times New Roman" w:cs="Times New Roman"/>
        </w:rPr>
        <w:t>one-way</w:t>
      </w:r>
      <w:r>
        <w:rPr>
          <w:rFonts w:ascii="Times New Roman" w:hAnsi="Times New Roman" w:cs="Times New Roman"/>
        </w:rPr>
        <w:t xml:space="preserve"> ANOVA test, which measures the difference between </w:t>
      </w:r>
      <w:proofErr w:type="gramStart"/>
      <w:r>
        <w:rPr>
          <w:rFonts w:ascii="Times New Roman" w:hAnsi="Times New Roman" w:cs="Times New Roman"/>
        </w:rPr>
        <w:t>means of the</w:t>
      </w:r>
      <w:proofErr w:type="gramEnd"/>
      <w:r>
        <w:rPr>
          <w:rFonts w:ascii="Times New Roman" w:hAnsi="Times New Roman" w:cs="Times New Roman"/>
        </w:rPr>
        <w:t xml:space="preserve"> models, shows </w:t>
      </w:r>
      <w:r w:rsidR="00B32DC9">
        <w:rPr>
          <w:rFonts w:ascii="Times New Roman" w:hAnsi="Times New Roman" w:cs="Times New Roman"/>
        </w:rPr>
        <w:t>significance between our</w:t>
      </w:r>
      <w:r>
        <w:rPr>
          <w:rFonts w:ascii="Times New Roman" w:hAnsi="Times New Roman" w:cs="Times New Roman"/>
        </w:rPr>
        <w:t xml:space="preserve"> classifier</w:t>
      </w:r>
      <w:r w:rsidR="00B32DC9">
        <w:rPr>
          <w:rFonts w:ascii="Times New Roman" w:hAnsi="Times New Roman" w:cs="Times New Roman"/>
        </w:rPr>
        <w:t xml:space="preserve"> results</w:t>
      </w:r>
      <w:r>
        <w:rPr>
          <w:rFonts w:ascii="Times New Roman" w:hAnsi="Times New Roman" w:cs="Times New Roman"/>
        </w:rPr>
        <w:t xml:space="preserve">. </w:t>
      </w:r>
    </w:p>
    <w:p w14:paraId="0A5D420D" w14:textId="25709BB3" w:rsidR="00C83BB7" w:rsidRDefault="00C83BB7" w:rsidP="00C83BB7">
      <w:pPr>
        <w:rPr>
          <w:rFonts w:ascii="Times New Roman" w:hAnsi="Times New Roman" w:cs="Times New Roman"/>
        </w:rPr>
      </w:pPr>
      <w:r w:rsidRPr="00C83BB7">
        <w:rPr>
          <w:rFonts w:ascii="Times New Roman" w:hAnsi="Times New Roman" w:cs="Times New Roman"/>
        </w:rPr>
        <w:drawing>
          <wp:inline distT="0" distB="0" distL="0" distR="0" wp14:anchorId="29862746" wp14:editId="1A9D73CF">
            <wp:extent cx="2896004" cy="457264"/>
            <wp:effectExtent l="0" t="0" r="0" b="0"/>
            <wp:docPr id="101830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0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C9B1" w14:textId="6D023FFA" w:rsidR="00B32DC9" w:rsidRDefault="00B32DC9" w:rsidP="00FB4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Digging further into the data using Tukey HSD, we can see that the Decision Tree model outperformed, especially compared to PART. Part is roughly 2 percentage points worse than Decision Tree. Their respective values were approximately: </w:t>
      </w:r>
    </w:p>
    <w:p w14:paraId="4F329C23" w14:textId="523A6A34" w:rsidR="00C83BB7" w:rsidRDefault="00C83BB7" w:rsidP="00C83BB7">
      <w:pPr>
        <w:jc w:val="both"/>
        <w:rPr>
          <w:rFonts w:ascii="Times New Roman" w:hAnsi="Times New Roman" w:cs="Times New Roman"/>
        </w:rPr>
      </w:pPr>
      <w:r w:rsidRPr="00C83BB7">
        <w:drawing>
          <wp:inline distT="0" distB="0" distL="0" distR="0" wp14:anchorId="26092575" wp14:editId="429EA095">
            <wp:extent cx="3333750" cy="1941171"/>
            <wp:effectExtent l="0" t="0" r="0" b="2540"/>
            <wp:docPr id="12315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45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188" cy="194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3720" w14:textId="77777777" w:rsidR="00B47838" w:rsidRDefault="00B47838" w:rsidP="00C83BB7">
      <w:pPr>
        <w:jc w:val="both"/>
        <w:rPr>
          <w:rFonts w:ascii="Times New Roman" w:hAnsi="Times New Roman" w:cs="Times New Roman"/>
        </w:rPr>
      </w:pPr>
    </w:p>
    <w:p w14:paraId="577C730B" w14:textId="77777777" w:rsidR="00B47838" w:rsidRDefault="00B47838" w:rsidP="00C83BB7">
      <w:pPr>
        <w:jc w:val="both"/>
        <w:rPr>
          <w:rFonts w:ascii="Times New Roman" w:hAnsi="Times New Roman" w:cs="Times New Roman"/>
        </w:rPr>
      </w:pPr>
    </w:p>
    <w:p w14:paraId="7469D71A" w14:textId="77777777" w:rsidR="00B47838" w:rsidRDefault="00B47838" w:rsidP="00C83BB7">
      <w:pPr>
        <w:jc w:val="both"/>
        <w:rPr>
          <w:rFonts w:ascii="Times New Roman" w:hAnsi="Times New Roman" w:cs="Times New Roman"/>
        </w:rPr>
      </w:pPr>
    </w:p>
    <w:p w14:paraId="647804EE" w14:textId="77777777" w:rsidR="00B47838" w:rsidRDefault="00B47838" w:rsidP="00C83BB7">
      <w:pPr>
        <w:jc w:val="both"/>
        <w:rPr>
          <w:rFonts w:ascii="Times New Roman" w:hAnsi="Times New Roman" w:cs="Times New Roman"/>
        </w:rPr>
      </w:pPr>
    </w:p>
    <w:p w14:paraId="6156C892" w14:textId="6A7CE891" w:rsidR="002867E7" w:rsidRPr="00C83BB7" w:rsidRDefault="00B47838" w:rsidP="00A0398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sectPr w:rsidR="002867E7" w:rsidRPr="00C83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0AB8"/>
    <w:multiLevelType w:val="hybridMultilevel"/>
    <w:tmpl w:val="C200F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5C2CCA"/>
    <w:multiLevelType w:val="hybridMultilevel"/>
    <w:tmpl w:val="03B6AFC8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71782910">
    <w:abstractNumId w:val="1"/>
  </w:num>
  <w:num w:numId="2" w16cid:durableId="44276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2E"/>
    <w:rsid w:val="000F1D11"/>
    <w:rsid w:val="0012225E"/>
    <w:rsid w:val="002867E7"/>
    <w:rsid w:val="00414A6A"/>
    <w:rsid w:val="004C50D5"/>
    <w:rsid w:val="0052332E"/>
    <w:rsid w:val="00644553"/>
    <w:rsid w:val="00766E10"/>
    <w:rsid w:val="00953F55"/>
    <w:rsid w:val="00970ACA"/>
    <w:rsid w:val="00A03989"/>
    <w:rsid w:val="00AD07DC"/>
    <w:rsid w:val="00B32DC9"/>
    <w:rsid w:val="00B47838"/>
    <w:rsid w:val="00B97DB4"/>
    <w:rsid w:val="00BC0A67"/>
    <w:rsid w:val="00C345BD"/>
    <w:rsid w:val="00C83BB7"/>
    <w:rsid w:val="00D267F7"/>
    <w:rsid w:val="00E93811"/>
    <w:rsid w:val="00FB4CBB"/>
    <w:rsid w:val="00FD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7CEC"/>
  <w15:chartTrackingRefBased/>
  <w15:docId w15:val="{5B5E548A-66A4-40D0-BFC4-5BEBCC70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989"/>
  </w:style>
  <w:style w:type="paragraph" w:styleId="Heading1">
    <w:name w:val="heading 1"/>
    <w:basedOn w:val="Normal"/>
    <w:next w:val="Normal"/>
    <w:link w:val="Heading1Char"/>
    <w:uiPriority w:val="9"/>
    <w:qFormat/>
    <w:rsid w:val="0052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</cp:lastModifiedBy>
  <cp:revision>14</cp:revision>
  <dcterms:created xsi:type="dcterms:W3CDTF">2026-02-06T17:04:00Z</dcterms:created>
  <dcterms:modified xsi:type="dcterms:W3CDTF">2026-02-06T17:44:00Z</dcterms:modified>
</cp:coreProperties>
</file>