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HỌC VIỆN CÔNG NGHỆ BƯU CHÍNH VIỄN THÔNG</w:t>
      </w:r>
    </w:p>
    <w:p/>
    <w:p/>
    <w:p/>
    <w:p/>
    <w:p>
      <w:pPr>
        <w:jc w:val="center"/>
      </w:pPr>
      <w:r>
        <w:rPr>
          <w:b/>
          <w:i w:val="0"/>
          <w:sz w:val="36"/>
        </w:rPr>
        <w:t>BÁO CÁO BÀI TẬP NHÓM CUỐI KỲ</w:t>
      </w:r>
    </w:p>
    <w:p>
      <w:pPr>
        <w:jc w:val="center"/>
      </w:pPr>
      <w:r>
        <w:rPr>
          <w:b w:val="0"/>
          <w:i w:val="0"/>
        </w:rPr>
        <w:t>Học phần: Nhận dạng mẫu</w:t>
      </w:r>
    </w:p>
    <w:p/>
    <w:p>
      <w:pPr>
        <w:jc w:val="center"/>
      </w:pPr>
      <w:r>
        <w:rPr>
          <w:b/>
          <w:i w:val="0"/>
          <w:sz w:val="32"/>
        </w:rPr>
        <w:t>NHẬN DẠNG RƯỢU VANG CHẤT LƯỢNG CAO TỪ CHỈ TIÊU HÓA LÝ</w:t>
      </w:r>
    </w:p>
    <w:p>
      <w:pPr>
        <w:jc w:val="center"/>
      </w:pPr>
      <w:r>
        <w:rPr>
          <w:b w:val="0"/>
          <w:i/>
        </w:rPr>
        <w:t>Bộ dữ liệu Wine Quality (UCI) – so sánh phương án cơ sở với các phương án cải tiến</w:t>
      </w:r>
    </w:p>
    <w:p/>
    <w:p/>
    <w:p/>
    <w:p/>
    <w:p/>
    <w:p>
      <w:pPr>
        <w:jc w:val="center"/>
      </w:pPr>
      <w:r>
        <w:rPr>
          <w:b/>
          <w:i w:val="0"/>
        </w:rPr>
        <w:t>Nhóm thực hiện:</w:t>
      </w:r>
    </w:p>
    <w:p>
      <w:pPr>
        <w:jc w:val="center"/>
      </w:pPr>
      <w:r>
        <w:rPr>
          <w:b w:val="0"/>
          <w:i w:val="0"/>
        </w:rPr>
        <w:t>Nguyễn Quốc Cường – B26CHKH013</w:t>
      </w:r>
    </w:p>
    <w:p>
      <w:pPr>
        <w:jc w:val="center"/>
      </w:pPr>
      <w:r>
        <w:rPr>
          <w:b w:val="0"/>
          <w:i w:val="0"/>
        </w:rPr>
        <w:t>Trần Như Đức – B26CHKH027</w:t>
      </w:r>
    </w:p>
    <w:p>
      <w:pPr>
        <w:jc w:val="center"/>
      </w:pPr>
      <w:r>
        <w:rPr>
          <w:b w:val="0"/>
          <w:i w:val="0"/>
        </w:rPr>
        <w:t>Giảng viên hướng dẫn: Nguyễn Xuân Đức</w:t>
      </w:r>
    </w:p>
    <w:p>
      <w:pPr>
        <w:jc w:val="center"/>
      </w:pPr>
      <w:r>
        <w:rPr>
          <w:b w:val="0"/>
          <w:i w:val="0"/>
        </w:rPr>
        <w:t>Năm học 2026</w:t>
      </w:r>
    </w:p>
    <w:p>
      <w:r>
        <w:br w:type="page"/>
      </w:r>
    </w:p>
    <w:p>
      <w:pPr>
        <w:pStyle w:val="Heading1"/>
      </w:pPr>
      <w:r>
        <w:t>Tóm tắt</w:t>
      </w:r>
    </w:p>
    <w:p>
      <w:r>
        <w:rPr>
          <w:b w:val="0"/>
          <w:i w:val="0"/>
        </w:rPr>
        <w:t>Báo cáo xây dựng bộ nhận dạng rượu vang chất lượng cao (điểm cảm quan ≥ 7) từ 11 chỉ tiêu hóa lý và loại rượu (đỏ/trắng), dùng bộ dữ liệu Wine Quality của Cortez và cộng sự (UCI). Sau khi phát hiện và loại 1177 bản ghi trùng lặp, dữ liệu còn 5320 mẫu, trong đó chỉ 19,0% là lớp dương, nên chúng tôi lấy F1 của lớp chất lượng cao và AUC làm thước đo chính thay vì accuracy. Phương án cơ sở là k-NN trên đặc trưng thô (F1 = 0,277); trong các bộ phân lớp trực tiếp, SVM nhân RBF có chuẩn hóa và trọng số cân bằng lớp tốt nhất (F1 = 0,548, recall = 0,809, AUC = 0,848); phương án thay thế tận dụng thứ tự của nhãn – hồi quy SVR trên điểm rồi đặt ngưỡng – đạt F1 cao nhất 0,570 (precision 0,486). Mọi cải thiện so với cơ sở đều có ý nghĩa thống kê (p &lt; 0,001). Thử chọn đặc trưng theo gợi ý của UCI cho thấy nên giữ đủ 12 chỉ tiêu. Phân tích lỗi cho thấy (i) phần lớn báo nhầm đến từ rượu điểm 6 – sát ranh giới nhãn chủ quan 6/7, (ii) bản ghi trùng làm thổi phồng kết quả của Random Forest/Gradient Boosting khoảng 0,2 điểm F1, (iii) ngưỡng quyết định ảnh hưởng tới F1 không kém việc chọn mô hình. Nhóm xây dựng demo Streamlit cho phép thao tác trực tiếp với dữ liệu.</w:t>
      </w:r>
    </w:p>
    <w:p>
      <w:pPr>
        <w:pStyle w:val="Heading1"/>
      </w:pPr>
      <w:r>
        <w:t>1. Bài toán và mục tiêu</w:t>
      </w:r>
    </w:p>
    <w:p>
      <w:r>
        <w:rPr>
          <w:b w:val="0"/>
          <w:i w:val="0"/>
        </w:rPr>
        <w:t>Đánh giá chất lượng rượu vang hiện dựa vào hội đồng nếm thử – tốn kém, chậm và mang tính chủ quan. Ngược lại, các chỉ tiêu hóa lý (độ cồn, độ axit, đường dư, SO₂…) được đo tự động trong quá trình chứng nhận. Câu hỏi nhận dạng mẫu: chỉ từ vectơ 12 chiều này, có thể nhận ra rượu được hội đồng chấm điểm cao (≥ 7/10) hay không?</w:t>
      </w:r>
    </w:p>
    <w:p>
      <w:r>
        <w:rPr>
          <w:b w:val="0"/>
          <w:i w:val="0"/>
        </w:rPr>
        <w:t>Bộ dữ liệu gốc cho điểm 0–10 (bài toán hồi quy/thứ bậc). Nhóm chuyển thành bài toán phân lớp nhị phân 'chất lượng cao' và 'thường' vì: (a) đây là quyết định thực tế (chọn lô rượu cao cấp), (b) các điểm 3, 4, 8, 9 quá hiếm để học từng lớp riêng, (c) cho phép phân tích lỗi theo ma trận nhầm lẫn rõ ràng.</w:t>
      </w:r>
    </w:p>
    <w:p>
      <w:r>
        <w:rPr>
          <w:b/>
          <w:i w:val="0"/>
        </w:rPr>
        <w:t>Mục tiêu cụ thể:</w:t>
      </w:r>
    </w:p>
    <w:p>
      <w:pPr>
        <w:pStyle w:val="ListBullet"/>
      </w:pPr>
      <w:r>
        <w:rPr>
          <w:b w:val="0"/>
          <w:i w:val="0"/>
        </w:rPr>
        <w:t>Xây dựng phương án cơ sở và nhiều phương án cải tiến/thay thế, đánh giá công bằng trong cùng một quy trình kiểm định chéo.</w:t>
      </w:r>
    </w:p>
    <w:p>
      <w:pPr>
        <w:pStyle w:val="ListBullet"/>
      </w:pPr>
      <w:r>
        <w:rPr>
          <w:b w:val="0"/>
          <w:i w:val="0"/>
        </w:rPr>
        <w:t>Xử lý mất cân bằng lớp (19% lớp dương) và kiểm định thống kê mức cải thiện.</w:t>
      </w:r>
    </w:p>
    <w:p>
      <w:pPr>
        <w:pStyle w:val="ListBullet"/>
      </w:pPr>
      <w:r>
        <w:rPr>
          <w:b w:val="0"/>
          <w:i w:val="0"/>
        </w:rPr>
        <w:t>Phân tích lỗi: mẫu nào bị nhầm, vì sao; ảnh hưởng của bản ghi trùng, của ngưỡng và loại rượu; nêu hạn chế.</w:t>
      </w:r>
    </w:p>
    <w:p>
      <w:pPr>
        <w:pStyle w:val="ListBullet"/>
      </w:pPr>
      <w:r>
        <w:rPr>
          <w:b w:val="0"/>
          <w:i w:val="0"/>
        </w:rPr>
        <w:t>Xây dựng demo tương tác.</w:t>
      </w:r>
    </w:p>
    <w:p>
      <w:pPr>
        <w:pStyle w:val="Heading1"/>
      </w:pPr>
      <w:r>
        <w:t>2. Dữ liệu</w:t>
      </w:r>
    </w:p>
    <w:p>
      <w:pPr>
        <w:pStyle w:val="Heading2"/>
      </w:pPr>
      <w:r>
        <w:t>2.1 Nguồn gốc</w:t>
      </w:r>
    </w:p>
    <w:p>
      <w:r>
        <w:rPr>
          <w:b w:val="0"/>
          <w:i w:val="0"/>
        </w:rPr>
        <w:t>Wine Quality (Cortez, Cerdeira, Almeida, Matos &amp; Reis, 2009), UCI Machine Learning Repository, https://archive.ics.uci.edu/dataset/186/wine+quality (doi: 10.24432/C56S3T). Dữ liệu thật thu thập 5/2004 – 2/2007 từ rượu Vinho Verde (Bắc Bồ Đào Nha) qua cơ quan chứng nhận CVRVV; mỗi mẫu được ít nhất 3 chuyên gia nếm mù và lấy trung vị điểm. Gồm 2 tệp: rượu đỏ (1.599) và trắng (4.898). Nhóm dùng bản tải về từ trang UCI (winequality-red.csv, winequality-white.csv, winequality.names), lưu trong thư mục data/; đã đối chiếu mã SHA-1 với bản trên máy chủ UCI. Lưu ý: trang UCI ghi 4.898 mẫu – đó là số mẫu rượu trắng; bài này dùng cả hai tệp (6.497 mẫu) và thêm biến is_red tương ứng với biến 'color' trên UCI.</w:t>
      </w:r>
    </w:p>
    <w:p>
      <w:r>
        <w:rPr>
          <w:b w:val="0"/>
          <w:i w:val="0"/>
        </w:rPr>
        <w:t>Mô tả trên UCI nêu ba điểm định hướng cách tiếp cận của nhóm: (1) các lớp có thứ tự và không cân bằng (rượu bình thường nhiều hơn hẳn rượu rất tốt/rất kém); (2) không chắc mọi biến đầu vào đều liên quan, nên đáng thử chọn đặc trưng; (3) chỉ có biến hóa lý và cảm quan, không có giống nho, nhãn hiệu, giá bán. Nhóm xử lý (1) bằng trọng số cân bằng lớp, chỉnh ngưỡng và một phương án hồi quy thứ bậc; (2) bằng một phương án chọn đặc trưng trong nested CV; (3) được nêu ở phần hạn chế.</w:t>
      </w:r>
    </w:p>
    <w:p>
      <w:pPr>
        <w:pStyle w:val="Heading2"/>
      </w:pPr>
      <w:r>
        <w:t>2.2 Mô tả và tiền xử lý</w:t>
      </w:r>
    </w:p>
    <w:tbl>
      <w:tblPr>
        <w:tblStyle w:val="TableGrid"/>
        <w:tblW w:type="auto" w:w="0"/>
        <w:jc w:val="center"/>
        <w:tblLook w:firstColumn="1" w:firstRow="1" w:lastColumn="0" w:lastRow="0" w:noHBand="0" w:noVBand="1" w:val="04A0"/>
      </w:tblPr>
      <w:tblGrid>
        <w:gridCol w:w="4536"/>
        <w:gridCol w:w="4536"/>
      </w:tblGrid>
      <w:tr>
        <w:tc>
          <w:tcPr>
            <w:tcW w:type="dxa" w:w="2551"/>
            <w:shd w:val="clear" w:color="auto" w:fill="EAD7DB"/>
          </w:tcPr>
          <w:p>
            <w:r/>
            <w:r>
              <w:rPr>
                <w:b/>
                <w:sz w:val="20"/>
              </w:rPr>
              <w:t>Thuộc tính</w:t>
            </w:r>
          </w:p>
        </w:tc>
        <w:tc>
          <w:tcPr>
            <w:tcW w:type="dxa" w:w="6520"/>
            <w:shd w:val="clear" w:color="auto" w:fill="EAD7DB"/>
          </w:tcPr>
          <w:p>
            <w:r/>
            <w:r>
              <w:rPr>
                <w:b/>
                <w:sz w:val="20"/>
              </w:rPr>
              <w:t>Giá trị</w:t>
            </w:r>
          </w:p>
        </w:tc>
      </w:tr>
      <w:tr>
        <w:tc>
          <w:tcPr>
            <w:tcW w:type="dxa" w:w="2551"/>
          </w:tcPr>
          <w:p>
            <w:pPr>
              <w:spacing w:after="0"/>
            </w:pPr>
            <w:r/>
            <w:r>
              <w:rPr>
                <w:sz w:val="20"/>
              </w:rPr>
              <w:t>Số mẫu gốc</w:t>
            </w:r>
          </w:p>
        </w:tc>
        <w:tc>
          <w:tcPr>
            <w:tcW w:type="dxa" w:w="6520"/>
          </w:tcPr>
          <w:p>
            <w:pPr>
              <w:spacing w:after="0"/>
            </w:pPr>
            <w:r/>
            <w:r>
              <w:rPr>
                <w:sz w:val="20"/>
              </w:rPr>
              <w:t>6497 (đỏ 1.599 + trắng 4.898)</w:t>
            </w:r>
          </w:p>
        </w:tc>
      </w:tr>
      <w:tr>
        <w:tc>
          <w:tcPr>
            <w:tcW w:type="dxa" w:w="2551"/>
          </w:tcPr>
          <w:p>
            <w:pPr>
              <w:spacing w:after="0"/>
            </w:pPr>
            <w:r/>
            <w:r>
              <w:rPr>
                <w:sz w:val="20"/>
              </w:rPr>
              <w:t>Bản ghi trùng hoàn toàn</w:t>
            </w:r>
          </w:p>
        </w:tc>
        <w:tc>
          <w:tcPr>
            <w:tcW w:type="dxa" w:w="6520"/>
          </w:tcPr>
          <w:p>
            <w:pPr>
              <w:spacing w:after="0"/>
            </w:pPr>
            <w:r/>
            <w:r>
              <w:rPr>
                <w:sz w:val="20"/>
              </w:rPr>
              <w:t>1177 (18,1%) – bị loại</w:t>
            </w:r>
          </w:p>
        </w:tc>
      </w:tr>
      <w:tr>
        <w:tc>
          <w:tcPr>
            <w:tcW w:type="dxa" w:w="2551"/>
          </w:tcPr>
          <w:p>
            <w:pPr>
              <w:spacing w:after="0"/>
            </w:pPr>
            <w:r/>
            <w:r>
              <w:rPr>
                <w:sz w:val="20"/>
              </w:rPr>
              <w:t>Số mẫu sử dụng</w:t>
            </w:r>
          </w:p>
        </w:tc>
        <w:tc>
          <w:tcPr>
            <w:tcW w:type="dxa" w:w="6520"/>
          </w:tcPr>
          <w:p>
            <w:pPr>
              <w:spacing w:after="0"/>
            </w:pPr>
            <w:r/>
            <w:r>
              <w:rPr>
                <w:sz w:val="20"/>
              </w:rPr>
              <w:t>5320</w:t>
            </w:r>
          </w:p>
        </w:tc>
      </w:tr>
      <w:tr>
        <w:tc>
          <w:tcPr>
            <w:tcW w:type="dxa" w:w="2551"/>
          </w:tcPr>
          <w:p>
            <w:pPr>
              <w:spacing w:after="0"/>
            </w:pPr>
            <w:r/>
            <w:r>
              <w:rPr>
                <w:sz w:val="20"/>
              </w:rPr>
              <w:t>Đặc trưng</w:t>
            </w:r>
          </w:p>
        </w:tc>
        <w:tc>
          <w:tcPr>
            <w:tcW w:type="dxa" w:w="6520"/>
          </w:tcPr>
          <w:p>
            <w:pPr>
              <w:spacing w:after="0"/>
            </w:pPr>
            <w:r/>
            <w:r>
              <w:rPr>
                <w:sz w:val="20"/>
              </w:rPr>
              <w:t>11 chỉ tiêu hóa lý + is_red (1 = đỏ)</w:t>
            </w:r>
          </w:p>
        </w:tc>
      </w:tr>
      <w:tr>
        <w:tc>
          <w:tcPr>
            <w:tcW w:type="dxa" w:w="2551"/>
          </w:tcPr>
          <w:p>
            <w:pPr>
              <w:spacing w:after="0"/>
            </w:pPr>
            <w:r/>
            <w:r>
              <w:rPr>
                <w:sz w:val="20"/>
              </w:rPr>
              <w:t>Nhãn</w:t>
            </w:r>
          </w:p>
        </w:tc>
        <w:tc>
          <w:tcPr>
            <w:tcW w:type="dxa" w:w="6520"/>
          </w:tcPr>
          <w:p>
            <w:pPr>
              <w:spacing w:after="0"/>
            </w:pPr>
            <w:r/>
            <w:r>
              <w:rPr>
                <w:sz w:val="20"/>
              </w:rPr>
              <w:t>Chất lượng cao (điểm ≥ 7): 1009 mẫu (19,0%); thường: 4311</w:t>
            </w:r>
          </w:p>
        </w:tc>
      </w:tr>
      <w:tr>
        <w:tc>
          <w:tcPr>
            <w:tcW w:type="dxa" w:w="2551"/>
          </w:tcPr>
          <w:p>
            <w:pPr>
              <w:spacing w:after="0"/>
            </w:pPr>
            <w:r/>
            <w:r>
              <w:rPr>
                <w:sz w:val="20"/>
              </w:rPr>
              <w:t>Giá trị thiếu</w:t>
            </w:r>
          </w:p>
        </w:tc>
        <w:tc>
          <w:tcPr>
            <w:tcW w:type="dxa" w:w="6520"/>
          </w:tcPr>
          <w:p>
            <w:pPr>
              <w:spacing w:after="0"/>
            </w:pPr>
            <w:r/>
            <w:r>
              <w:rPr>
                <w:sz w:val="20"/>
              </w:rPr>
              <w:t>Không có</w:t>
            </w:r>
          </w:p>
        </w:tc>
      </w:tr>
    </w:tbl>
    <w:p>
      <w:pPr>
        <w:jc w:val="center"/>
      </w:pPr>
      <w:r>
        <w:rPr>
          <w:b w:val="0"/>
          <w:i/>
          <w:sz w:val="22"/>
        </w:rPr>
        <w:t>Bảng 1. Tóm tắt dữ liệu.</w:t>
      </w:r>
    </w:p>
    <w:p>
      <w:r>
        <w:rPr>
          <w:b w:val="0"/>
          <w:i w:val="0"/>
        </w:rPr>
        <w:t>Bản ghi trùng (cùng mọi chỉ tiêu và cùng điểm) chiếm 18,1%. Nếu giữ lại, cùng một mẫu có thể nằm cả ở tập huấn luyện lẫn tập kiểm tra, làm kết quả kiểm định chéo lạc quan giả tạo (rò rỉ dữ liệu). Mục 5.4 định lượng ảnh hưởng này.</w:t>
      </w:r>
    </w:p>
    <w:p>
      <w:pPr>
        <w:pStyle w:val="Heading2"/>
      </w:pPr>
      <w:r>
        <w:t>2.3 Khảo sát dữ liệu</w:t>
      </w:r>
    </w:p>
    <w:p>
      <w:pPr>
        <w:jc w:val="center"/>
      </w:pPr>
      <w:r>
        <w:drawing>
          <wp:inline xmlns:a="http://schemas.openxmlformats.org/drawingml/2006/main" xmlns:pic="http://schemas.openxmlformats.org/drawingml/2006/picture">
            <wp:extent cx="3600000" cy="2356364"/>
            <wp:docPr id="1" name="Picture 1"/>
            <wp:cNvGraphicFramePr>
              <a:graphicFrameLocks noChangeAspect="1"/>
            </wp:cNvGraphicFramePr>
            <a:graphic>
              <a:graphicData uri="http://schemas.openxmlformats.org/drawingml/2006/picture">
                <pic:pic>
                  <pic:nvPicPr>
                    <pic:cNvPr id="0" name="quality_dist.png"/>
                    <pic:cNvPicPr/>
                  </pic:nvPicPr>
                  <pic:blipFill>
                    <a:blip r:embed="rId9"/>
                    <a:stretch>
                      <a:fillRect/>
                    </a:stretch>
                  </pic:blipFill>
                  <pic:spPr>
                    <a:xfrm>
                      <a:off x="0" y="0"/>
                      <a:ext cx="3600000" cy="2356364"/>
                    </a:xfrm>
                    <a:prstGeom prst="rect"/>
                  </pic:spPr>
                </pic:pic>
              </a:graphicData>
            </a:graphic>
          </wp:inline>
        </w:drawing>
      </w:r>
    </w:p>
    <w:p>
      <w:pPr>
        <w:jc w:val="center"/>
      </w:pPr>
      <w:r>
        <w:rPr>
          <w:b w:val="0"/>
          <w:i/>
          <w:sz w:val="22"/>
        </w:rPr>
        <w:t>Hình 1. Phân bố điểm chất lượng (sau loại trùng); màu đậm là lớp 'chất lượng cao'.</w:t>
      </w:r>
    </w:p>
    <w:p>
      <w:r>
        <w:rPr>
          <w:b w:val="0"/>
          <w:i w:val="0"/>
        </w:rPr>
        <w:t>Phân bố điểm tập trung ở 5–6; điểm 3 và 9 cực hiếm. Ngưỡng 7 tạo lớp dương thiểu số, và hai điểm 6 và 7 – vốn chỉ cách nhau một bậc chủ quan – nằm ở hai phía ranh giới.</w:t>
      </w:r>
    </w:p>
    <w:p>
      <w:pPr>
        <w:jc w:val="center"/>
      </w:pPr>
      <w:r>
        <w:drawing>
          <wp:inline xmlns:a="http://schemas.openxmlformats.org/drawingml/2006/main" xmlns:pic="http://schemas.openxmlformats.org/drawingml/2006/picture">
            <wp:extent cx="5580000" cy="1355143"/>
            <wp:docPr id="2" name="Picture 2"/>
            <wp:cNvGraphicFramePr>
              <a:graphicFrameLocks noChangeAspect="1"/>
            </wp:cNvGraphicFramePr>
            <a:graphic>
              <a:graphicData uri="http://schemas.openxmlformats.org/drawingml/2006/picture">
                <pic:pic>
                  <pic:nvPicPr>
                    <pic:cNvPr id="0" name="eda_hist.png"/>
                    <pic:cNvPicPr/>
                  </pic:nvPicPr>
                  <pic:blipFill>
                    <a:blip r:embed="rId10"/>
                    <a:stretch>
                      <a:fillRect/>
                    </a:stretch>
                  </pic:blipFill>
                  <pic:spPr>
                    <a:xfrm>
                      <a:off x="0" y="0"/>
                      <a:ext cx="5580000" cy="1355143"/>
                    </a:xfrm>
                    <a:prstGeom prst="rect"/>
                  </pic:spPr>
                </pic:pic>
              </a:graphicData>
            </a:graphic>
          </wp:inline>
        </w:drawing>
      </w:r>
    </w:p>
    <w:p>
      <w:pPr>
        <w:jc w:val="center"/>
      </w:pPr>
      <w:r>
        <w:rPr>
          <w:b w:val="0"/>
          <w:i/>
          <w:sz w:val="22"/>
        </w:rPr>
        <w:t>Hình 2. Phân bố một số chỉ tiêu theo lớp (đã chuẩn hóa mật độ).</w:t>
      </w:r>
    </w:p>
    <w:p>
      <w:r>
        <w:rPr>
          <w:b w:val="0"/>
          <w:i w:val="0"/>
        </w:rPr>
        <w:t>Độ cồn (alcohol) là chỉ tiêu phân biệt mạnh nhất, kế đến là tỉ trọng (density) – vốn tương quan âm mạnh với độ cồn. Các cặp tương quan |r| &gt; 0,5: residual sugar ~ density (r = 0,52); free sulfur dioxide ~ total sulfur dioxide (r = 0,72); density ~ alcohol (r = -0,67). Hai lớp chồng lấp đáng kể trên mọi chỉ tiêu đơn lẻ, và trên mặt phẳng PCA (Hình 3) cũng không tách rõ: đây là bài toán khó hơn nhiều so với các bộ dữ liệu y sinh kinh điển. Cần 9/12 thành phần chính để giữ 95% phương sai, tức thông tin trải đều, ít dư thừa.</w:t>
      </w:r>
    </w:p>
    <w:p>
      <w:pPr>
        <w:jc w:val="center"/>
      </w:pPr>
      <w:r>
        <w:drawing>
          <wp:inline xmlns:a="http://schemas.openxmlformats.org/drawingml/2006/main" xmlns:pic="http://schemas.openxmlformats.org/drawingml/2006/picture">
            <wp:extent cx="5580000" cy="2181273"/>
            <wp:docPr id="3" name="Picture 3"/>
            <wp:cNvGraphicFramePr>
              <a:graphicFrameLocks noChangeAspect="1"/>
            </wp:cNvGraphicFramePr>
            <a:graphic>
              <a:graphicData uri="http://schemas.openxmlformats.org/drawingml/2006/picture">
                <pic:pic>
                  <pic:nvPicPr>
                    <pic:cNvPr id="0" name="pca.png"/>
                    <pic:cNvPicPr/>
                  </pic:nvPicPr>
                  <pic:blipFill>
                    <a:blip r:embed="rId11"/>
                    <a:stretch>
                      <a:fillRect/>
                    </a:stretch>
                  </pic:blipFill>
                  <pic:spPr>
                    <a:xfrm>
                      <a:off x="0" y="0"/>
                      <a:ext cx="5580000" cy="2181273"/>
                    </a:xfrm>
                    <a:prstGeom prst="rect"/>
                  </pic:spPr>
                </pic:pic>
              </a:graphicData>
            </a:graphic>
          </wp:inline>
        </w:drawing>
      </w:r>
    </w:p>
    <w:p>
      <w:pPr>
        <w:jc w:val="center"/>
      </w:pPr>
      <w:r>
        <w:rPr>
          <w:b w:val="0"/>
          <w:i/>
          <w:sz w:val="22"/>
        </w:rPr>
        <w:t>Hình 3. Trái: chiếu PCA 2 chiều. Phải: phương sai tích lũy theo số thành phần chính.</w:t>
      </w:r>
    </w:p>
    <w:p>
      <w:pPr>
        <w:pStyle w:val="Heading1"/>
      </w:pPr>
      <w:r>
        <w:t>3. Phương pháp</w:t>
      </w:r>
    </w:p>
    <w:p>
      <w:pPr>
        <w:pStyle w:val="Heading2"/>
      </w:pPr>
      <w:r>
        <w:t>3.1 Phương án cơ sở</w:t>
      </w:r>
    </w:p>
    <w:p>
      <w:pPr>
        <w:pStyle w:val="ListBullet"/>
      </w:pPr>
      <w:r>
        <w:rPr>
          <w:b w:val="0"/>
          <w:i w:val="0"/>
        </w:rPr>
        <w:t>k-NN (k = 5) trên đặc trưng thô, không chuẩn hóa – phương án cơ sở chính (dùng cho kiểm định).</w:t>
      </w:r>
    </w:p>
    <w:p>
      <w:pPr>
        <w:pStyle w:val="ListBullet"/>
      </w:pPr>
      <w:r>
        <w:rPr>
          <w:b w:val="0"/>
          <w:i w:val="0"/>
        </w:rPr>
        <w:t>Naive Bayes Gaussian trên đặc trưng thô – bộ phân loại Bayes đơn giản với giả thiết độc lập.</w:t>
      </w:r>
    </w:p>
    <w:p>
      <w:pPr>
        <w:pStyle w:val="ListBullet"/>
      </w:pPr>
      <w:r>
        <w:rPr>
          <w:b w:val="0"/>
          <w:i w:val="0"/>
        </w:rPr>
        <w:t>Tham chiếu 'luôn đoán lớp đa số' – cho thấy vì sao accuracy gây hiểu nhầm (accuracy ≈ 81% nhưng không phát hiện được rượu ngon nào).</w:t>
      </w:r>
    </w:p>
    <w:p>
      <w:pPr>
        <w:pStyle w:val="Heading2"/>
      </w:pPr>
      <w:r>
        <w:t>3.2 Phương án cải tiến / thay thế</w:t>
      </w:r>
    </w:p>
    <w:p>
      <w:pPr>
        <w:pStyle w:val="ListBullet"/>
      </w:pPr>
      <w:r>
        <w:rPr>
          <w:b w:val="0"/>
          <w:i w:val="0"/>
        </w:rPr>
        <w:t>Chuẩn hóa z-score + k-NN (k = 15): sửa lỗi thang đo (total sulfur dioxide ~ 10² trong khi density ~ 1).</w:t>
      </w:r>
    </w:p>
    <w:p>
      <w:pPr>
        <w:pStyle w:val="ListBullet"/>
      </w:pPr>
      <w:r>
        <w:rPr>
          <w:b w:val="0"/>
          <w:i w:val="0"/>
        </w:rPr>
        <w:t>LDA, QDA (reg_param = 0,1): bộ phân loại Bayes với phân phối Gauss đa biến, có xét tương quan.</w:t>
      </w:r>
    </w:p>
    <w:p>
      <w:pPr>
        <w:pStyle w:val="ListBullet"/>
      </w:pPr>
      <w:r>
        <w:rPr>
          <w:b w:val="0"/>
          <w:i w:val="0"/>
        </w:rPr>
        <w:t>Hồi quy logistic L2 với trọng số cân bằng lớp, C ∈ {0,01; 0,1; 1; 10}.</w:t>
      </w:r>
    </w:p>
    <w:p>
      <w:pPr>
        <w:pStyle w:val="ListBullet"/>
      </w:pPr>
      <w:r>
        <w:rPr>
          <w:b w:val="0"/>
          <w:i w:val="0"/>
        </w:rPr>
        <w:t>SVM nhân RBF với trọng số cân bằng lớp, C ∈ {1; 10}, γ ∈ {scale; 0,2} (tham số được chọn: C = 1, γ = scale); biến thể PCA (8 thành phần) + SVM.</w:t>
      </w:r>
    </w:p>
    <w:p>
      <w:pPr>
        <w:pStyle w:val="ListBullet"/>
      </w:pPr>
      <w:r>
        <w:rPr>
          <w:b w:val="0"/>
          <w:i w:val="0"/>
        </w:rPr>
        <w:t>Random Forest 300 cây (balanced_subsample) và Histogram Gradient Boosting – mô hình tập hợp dựa trên cây.</w:t>
      </w:r>
    </w:p>
    <w:p>
      <w:pPr>
        <w:pStyle w:val="ListBullet"/>
      </w:pPr>
      <w:r>
        <w:rPr>
          <w:b w:val="0"/>
          <w:i w:val="0"/>
        </w:rPr>
        <w:t>Chọn đặc trưng kiểu lọc (thống kê ANOVA F) + SVM RBF: số đặc trưng k ∈ {3, 5, 7, 9, 12} được chọn trong nested CV, cùng với C.</w:t>
      </w:r>
    </w:p>
    <w:p>
      <w:pPr>
        <w:pStyle w:val="ListBullet"/>
      </w:pPr>
      <w:r>
        <w:rPr>
          <w:b w:val="0"/>
          <w:i w:val="0"/>
        </w:rPr>
        <w:t>Hồi quy thứ bậc: SVR (nhân RBF) dự đoán điểm 3–9 thay vì nhãn nhị phân, rồi gán 'chất lượng cao' nếu điểm dự đoán ≥ ngưỡng; ngưỡng được chọn bằng CV nội bộ trên tập huấn luyện. Cách này tận dụng thứ tự của nhãn (rượu điểm 6 'gần' lớp dương hơn điểm 4).</w:t>
      </w:r>
    </w:p>
    <w:p>
      <w:pPr>
        <w:pStyle w:val="ListBullet"/>
      </w:pPr>
      <w:r>
        <w:rPr>
          <w:b w:val="0"/>
          <w:i w:val="0"/>
        </w:rPr>
        <w:t>Điều chỉnh ngưỡng quyết định trên xác suất (Platt scaling cho SVM) nhằm tối đa F1.</w:t>
      </w:r>
    </w:p>
    <w:p>
      <w:pPr>
        <w:pStyle w:val="Heading2"/>
      </w:pPr>
      <w:r>
        <w:t>3.3 Quy trình đánh giá</w:t>
      </w:r>
    </w:p>
    <w:p>
      <w:pPr>
        <w:pStyle w:val="ListBullet"/>
      </w:pPr>
      <w:r>
        <w:rPr>
          <w:b w:val="0"/>
          <w:i w:val="0"/>
        </w:rPr>
        <w:t>Kiểm định chéo phân tầng 5-fold lặp 3 lần (15 fold); chuẩn hóa/PCA nằm trong Pipeline, chỉ fit trên tập huấn luyện của từng fold.</w:t>
      </w:r>
    </w:p>
    <w:p>
      <w:pPr>
        <w:pStyle w:val="ListBullet"/>
      </w:pPr>
      <w:r>
        <w:rPr>
          <w:b w:val="0"/>
          <w:i w:val="0"/>
        </w:rPr>
        <w:t>Mô hình có siêu tham số được chọn bằng GridSearchCV 3-fold (tiêu chí AUC) bên trong mỗi fold huấn luyện (nested CV).</w:t>
      </w:r>
    </w:p>
    <w:p>
      <w:pPr>
        <w:pStyle w:val="ListBullet"/>
      </w:pPr>
      <w:r>
        <w:rPr>
          <w:b w:val="0"/>
          <w:i w:val="0"/>
        </w:rPr>
        <w:t>Chỉ số: F1, recall, precision của lớp chất lượng cao, balanced accuracy, ROC-AUC, average precision; accuracy chỉ để tham khảo.</w:t>
      </w:r>
    </w:p>
    <w:p>
      <w:pPr>
        <w:pStyle w:val="ListBullet"/>
      </w:pPr>
      <w:r>
        <w:rPr>
          <w:b w:val="0"/>
          <w:i w:val="0"/>
        </w:rPr>
        <w:t>Kiểm định t ghép cặp với hiệu chỉnh phương sai Nadeau–Bengio trên F1 của 15 fold, so với k-NN thô.</w:t>
      </w:r>
    </w:p>
    <w:p>
      <w:pPr>
        <w:pStyle w:val="ListBullet"/>
      </w:pPr>
      <w:r>
        <w:rPr>
          <w:b w:val="0"/>
          <w:i w:val="0"/>
        </w:rPr>
        <w:t>Phân tích lỗi trên dự đoán ngoài-fold (5-fold) của toàn bộ mẫu; seed cố định = 42.</w:t>
      </w:r>
    </w:p>
    <w:p>
      <w:pPr>
        <w:pStyle w:val="Heading1"/>
      </w:pPr>
      <w:r>
        <w:t>4. Kết quả</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608"/>
            <w:shd w:val="clear" w:color="auto" w:fill="EAD7DB"/>
          </w:tcPr>
          <w:p>
            <w:r/>
            <w:r>
              <w:rPr>
                <w:b/>
                <w:sz w:val="20"/>
              </w:rPr>
              <w:t>Mô hình</w:t>
            </w:r>
          </w:p>
        </w:tc>
        <w:tc>
          <w:tcPr>
            <w:tcW w:type="dxa" w:w="1077"/>
            <w:shd w:val="clear" w:color="auto" w:fill="EAD7DB"/>
          </w:tcPr>
          <w:p>
            <w:r/>
            <w:r>
              <w:rPr>
                <w:b/>
                <w:sz w:val="20"/>
              </w:rPr>
              <w:t>F1</w:t>
            </w:r>
          </w:p>
        </w:tc>
        <w:tc>
          <w:tcPr>
            <w:tcW w:type="dxa" w:w="737"/>
            <w:shd w:val="clear" w:color="auto" w:fill="EAD7DB"/>
          </w:tcPr>
          <w:p>
            <w:r/>
            <w:r>
              <w:rPr>
                <w:b/>
                <w:sz w:val="20"/>
              </w:rPr>
              <w:t>Recall</w:t>
            </w:r>
          </w:p>
        </w:tc>
        <w:tc>
          <w:tcPr>
            <w:tcW w:type="dxa" w:w="850"/>
            <w:shd w:val="clear" w:color="auto" w:fill="EAD7DB"/>
          </w:tcPr>
          <w:p>
            <w:r/>
            <w:r>
              <w:rPr>
                <w:b/>
                <w:sz w:val="20"/>
              </w:rPr>
              <w:t>Precision</w:t>
            </w:r>
          </w:p>
        </w:tc>
        <w:tc>
          <w:tcPr>
            <w:tcW w:type="dxa" w:w="737"/>
            <w:shd w:val="clear" w:color="auto" w:fill="EAD7DB"/>
          </w:tcPr>
          <w:p>
            <w:r/>
            <w:r>
              <w:rPr>
                <w:b/>
                <w:sz w:val="20"/>
              </w:rPr>
              <w:t>Bal. acc</w:t>
            </w:r>
          </w:p>
        </w:tc>
        <w:tc>
          <w:tcPr>
            <w:tcW w:type="dxa" w:w="680"/>
            <w:shd w:val="clear" w:color="auto" w:fill="EAD7DB"/>
          </w:tcPr>
          <w:p>
            <w:r/>
            <w:r>
              <w:rPr>
                <w:b/>
                <w:sz w:val="20"/>
              </w:rPr>
              <w:t>AUC</w:t>
            </w:r>
          </w:p>
        </w:tc>
        <w:tc>
          <w:tcPr>
            <w:tcW w:type="dxa" w:w="680"/>
            <w:shd w:val="clear" w:color="auto" w:fill="EAD7DB"/>
          </w:tcPr>
          <w:p>
            <w:r/>
            <w:r>
              <w:rPr>
                <w:b/>
                <w:sz w:val="20"/>
              </w:rPr>
              <w:t>Acc</w:t>
            </w:r>
          </w:p>
        </w:tc>
        <w:tc>
          <w:tcPr>
            <w:tcW w:type="dxa" w:w="1474"/>
            <w:shd w:val="clear" w:color="auto" w:fill="EAD7DB"/>
          </w:tcPr>
          <w:p>
            <w:r/>
            <w:r>
              <w:rPr>
                <w:b/>
                <w:sz w:val="20"/>
              </w:rPr>
              <w:t>ΔF1 so với cơ sở</w:t>
            </w:r>
          </w:p>
        </w:tc>
      </w:tr>
      <w:tr>
        <w:tc>
          <w:tcPr>
            <w:tcW w:type="dxa" w:w="2608"/>
            <w:shd w:val="clear" w:color="auto" w:fill="E2F0D9"/>
          </w:tcPr>
          <w:p>
            <w:pPr>
              <w:spacing w:after="0"/>
            </w:pPr>
            <w:r/>
            <w:r>
              <w:rPr>
                <w:b/>
                <w:sz w:val="20"/>
              </w:rPr>
              <w:t>Hồi quy thứ bậc: SVR điểm → ngưỡng</w:t>
            </w:r>
          </w:p>
        </w:tc>
        <w:tc>
          <w:tcPr>
            <w:tcW w:type="dxa" w:w="1077"/>
            <w:shd w:val="clear" w:color="auto" w:fill="E2F0D9"/>
          </w:tcPr>
          <w:p>
            <w:pPr>
              <w:spacing w:after="0"/>
            </w:pPr>
            <w:r/>
            <w:r>
              <w:rPr>
                <w:b/>
                <w:sz w:val="20"/>
              </w:rPr>
              <w:t>0,570 ± 0,019</w:t>
            </w:r>
          </w:p>
        </w:tc>
        <w:tc>
          <w:tcPr>
            <w:tcW w:type="dxa" w:w="737"/>
            <w:shd w:val="clear" w:color="auto" w:fill="E2F0D9"/>
          </w:tcPr>
          <w:p>
            <w:pPr>
              <w:spacing w:after="0"/>
            </w:pPr>
            <w:r/>
            <w:r>
              <w:rPr>
                <w:b/>
                <w:sz w:val="20"/>
              </w:rPr>
              <w:t>0,690</w:t>
            </w:r>
          </w:p>
        </w:tc>
        <w:tc>
          <w:tcPr>
            <w:tcW w:type="dxa" w:w="850"/>
            <w:shd w:val="clear" w:color="auto" w:fill="E2F0D9"/>
          </w:tcPr>
          <w:p>
            <w:pPr>
              <w:spacing w:after="0"/>
            </w:pPr>
            <w:r/>
            <w:r>
              <w:rPr>
                <w:b/>
                <w:sz w:val="20"/>
              </w:rPr>
              <w:t>0,486</w:t>
            </w:r>
          </w:p>
        </w:tc>
        <w:tc>
          <w:tcPr>
            <w:tcW w:type="dxa" w:w="737"/>
            <w:shd w:val="clear" w:color="auto" w:fill="E2F0D9"/>
          </w:tcPr>
          <w:p>
            <w:pPr>
              <w:spacing w:after="0"/>
            </w:pPr>
            <w:r/>
            <w:r>
              <w:rPr>
                <w:b/>
                <w:sz w:val="20"/>
              </w:rPr>
              <w:t>0,759</w:t>
            </w:r>
          </w:p>
        </w:tc>
        <w:tc>
          <w:tcPr>
            <w:tcW w:type="dxa" w:w="680"/>
            <w:shd w:val="clear" w:color="auto" w:fill="E2F0D9"/>
          </w:tcPr>
          <w:p>
            <w:pPr>
              <w:spacing w:after="0"/>
            </w:pPr>
            <w:r/>
            <w:r>
              <w:rPr>
                <w:b/>
                <w:sz w:val="20"/>
              </w:rPr>
              <w:t>0,852</w:t>
            </w:r>
          </w:p>
        </w:tc>
        <w:tc>
          <w:tcPr>
            <w:tcW w:type="dxa" w:w="680"/>
            <w:shd w:val="clear" w:color="auto" w:fill="E2F0D9"/>
          </w:tcPr>
          <w:p>
            <w:pPr>
              <w:spacing w:after="0"/>
            </w:pPr>
            <w:r/>
            <w:r>
              <w:rPr>
                <w:b/>
                <w:sz w:val="20"/>
              </w:rPr>
              <w:t>0,802</w:t>
            </w:r>
          </w:p>
        </w:tc>
        <w:tc>
          <w:tcPr>
            <w:tcW w:type="dxa" w:w="1474"/>
            <w:shd w:val="clear" w:color="auto" w:fill="E2F0D9"/>
          </w:tcPr>
          <w:p>
            <w:pPr>
              <w:spacing w:after="0"/>
            </w:pPr>
            <w:r/>
            <w:r>
              <w:rPr>
                <w:b/>
                <w:sz w:val="20"/>
              </w:rPr>
              <w:t>+0,293; p&lt;0,001</w:t>
            </w:r>
          </w:p>
        </w:tc>
      </w:tr>
      <w:tr>
        <w:tc>
          <w:tcPr>
            <w:tcW w:type="dxa" w:w="2608"/>
          </w:tcPr>
          <w:p>
            <w:pPr>
              <w:spacing w:after="0"/>
            </w:pPr>
            <w:r/>
            <w:r>
              <w:rPr>
                <w:sz w:val="20"/>
              </w:rPr>
              <w:t>SVM RBF (cân bằng lớp, tuned)</w:t>
            </w:r>
          </w:p>
        </w:tc>
        <w:tc>
          <w:tcPr>
            <w:tcW w:type="dxa" w:w="1077"/>
          </w:tcPr>
          <w:p>
            <w:pPr>
              <w:spacing w:after="0"/>
            </w:pPr>
            <w:r/>
            <w:r>
              <w:rPr>
                <w:sz w:val="20"/>
              </w:rPr>
              <w:t>0,548 ± 0,015</w:t>
            </w:r>
          </w:p>
        </w:tc>
        <w:tc>
          <w:tcPr>
            <w:tcW w:type="dxa" w:w="737"/>
          </w:tcPr>
          <w:p>
            <w:pPr>
              <w:spacing w:after="0"/>
            </w:pPr>
            <w:r/>
            <w:r>
              <w:rPr>
                <w:sz w:val="20"/>
              </w:rPr>
              <w:t>0,809</w:t>
            </w:r>
          </w:p>
        </w:tc>
        <w:tc>
          <w:tcPr>
            <w:tcW w:type="dxa" w:w="850"/>
          </w:tcPr>
          <w:p>
            <w:pPr>
              <w:spacing w:after="0"/>
            </w:pPr>
            <w:r/>
            <w:r>
              <w:rPr>
                <w:sz w:val="20"/>
              </w:rPr>
              <w:t>0,415</w:t>
            </w:r>
          </w:p>
        </w:tc>
        <w:tc>
          <w:tcPr>
            <w:tcW w:type="dxa" w:w="737"/>
          </w:tcPr>
          <w:p>
            <w:pPr>
              <w:spacing w:after="0"/>
            </w:pPr>
            <w:r/>
            <w:r>
              <w:rPr>
                <w:sz w:val="20"/>
              </w:rPr>
              <w:t>0,771</w:t>
            </w:r>
          </w:p>
        </w:tc>
        <w:tc>
          <w:tcPr>
            <w:tcW w:type="dxa" w:w="680"/>
          </w:tcPr>
          <w:p>
            <w:pPr>
              <w:spacing w:after="0"/>
            </w:pPr>
            <w:r/>
            <w:r>
              <w:rPr>
                <w:sz w:val="20"/>
              </w:rPr>
              <w:t>0,848</w:t>
            </w:r>
          </w:p>
        </w:tc>
        <w:tc>
          <w:tcPr>
            <w:tcW w:type="dxa" w:w="680"/>
          </w:tcPr>
          <w:p>
            <w:pPr>
              <w:spacing w:after="0"/>
            </w:pPr>
            <w:r/>
            <w:r>
              <w:rPr>
                <w:sz w:val="20"/>
              </w:rPr>
              <w:t>0,747</w:t>
            </w:r>
          </w:p>
        </w:tc>
        <w:tc>
          <w:tcPr>
            <w:tcW w:type="dxa" w:w="1474"/>
          </w:tcPr>
          <w:p>
            <w:pPr>
              <w:spacing w:after="0"/>
            </w:pPr>
            <w:r/>
            <w:r>
              <w:rPr>
                <w:sz w:val="20"/>
              </w:rPr>
              <w:t>+0,271; p&lt;0,001</w:t>
            </w:r>
          </w:p>
        </w:tc>
      </w:tr>
      <w:tr>
        <w:tc>
          <w:tcPr>
            <w:tcW w:type="dxa" w:w="2608"/>
          </w:tcPr>
          <w:p>
            <w:pPr>
              <w:spacing w:after="0"/>
            </w:pPr>
            <w:r/>
            <w:r>
              <w:rPr>
                <w:sz w:val="20"/>
              </w:rPr>
              <w:t>Chọn đặc trưng (ANOVA, k tuned) + SVM</w:t>
            </w:r>
          </w:p>
        </w:tc>
        <w:tc>
          <w:tcPr>
            <w:tcW w:type="dxa" w:w="1077"/>
          </w:tcPr>
          <w:p>
            <w:pPr>
              <w:spacing w:after="0"/>
            </w:pPr>
            <w:r/>
            <w:r>
              <w:rPr>
                <w:sz w:val="20"/>
              </w:rPr>
              <w:t>0,548 ± 0,015</w:t>
            </w:r>
          </w:p>
        </w:tc>
        <w:tc>
          <w:tcPr>
            <w:tcW w:type="dxa" w:w="737"/>
          </w:tcPr>
          <w:p>
            <w:pPr>
              <w:spacing w:after="0"/>
            </w:pPr>
            <w:r/>
            <w:r>
              <w:rPr>
                <w:sz w:val="20"/>
              </w:rPr>
              <w:t>0,809</w:t>
            </w:r>
          </w:p>
        </w:tc>
        <w:tc>
          <w:tcPr>
            <w:tcW w:type="dxa" w:w="850"/>
          </w:tcPr>
          <w:p>
            <w:pPr>
              <w:spacing w:after="0"/>
            </w:pPr>
            <w:r/>
            <w:r>
              <w:rPr>
                <w:sz w:val="20"/>
              </w:rPr>
              <w:t>0,415</w:t>
            </w:r>
          </w:p>
        </w:tc>
        <w:tc>
          <w:tcPr>
            <w:tcW w:type="dxa" w:w="737"/>
          </w:tcPr>
          <w:p>
            <w:pPr>
              <w:spacing w:after="0"/>
            </w:pPr>
            <w:r/>
            <w:r>
              <w:rPr>
                <w:sz w:val="20"/>
              </w:rPr>
              <w:t>0,771</w:t>
            </w:r>
          </w:p>
        </w:tc>
        <w:tc>
          <w:tcPr>
            <w:tcW w:type="dxa" w:w="680"/>
          </w:tcPr>
          <w:p>
            <w:pPr>
              <w:spacing w:after="0"/>
            </w:pPr>
            <w:r/>
            <w:r>
              <w:rPr>
                <w:sz w:val="20"/>
              </w:rPr>
              <w:t>0,848</w:t>
            </w:r>
          </w:p>
        </w:tc>
        <w:tc>
          <w:tcPr>
            <w:tcW w:type="dxa" w:w="680"/>
          </w:tcPr>
          <w:p>
            <w:pPr>
              <w:spacing w:after="0"/>
            </w:pPr>
            <w:r/>
            <w:r>
              <w:rPr>
                <w:sz w:val="20"/>
              </w:rPr>
              <w:t>0,747</w:t>
            </w:r>
          </w:p>
        </w:tc>
        <w:tc>
          <w:tcPr>
            <w:tcW w:type="dxa" w:w="1474"/>
          </w:tcPr>
          <w:p>
            <w:pPr>
              <w:spacing w:after="0"/>
            </w:pPr>
            <w:r/>
            <w:r>
              <w:rPr>
                <w:sz w:val="20"/>
              </w:rPr>
              <w:t>+0,271; p&lt;0,001</w:t>
            </w:r>
          </w:p>
        </w:tc>
      </w:tr>
      <w:tr>
        <w:tc>
          <w:tcPr>
            <w:tcW w:type="dxa" w:w="2608"/>
          </w:tcPr>
          <w:p>
            <w:pPr>
              <w:spacing w:after="0"/>
            </w:pPr>
            <w:r/>
            <w:r>
              <w:rPr>
                <w:sz w:val="20"/>
              </w:rPr>
              <w:t>QDA</w:t>
            </w:r>
          </w:p>
        </w:tc>
        <w:tc>
          <w:tcPr>
            <w:tcW w:type="dxa" w:w="1077"/>
          </w:tcPr>
          <w:p>
            <w:pPr>
              <w:spacing w:after="0"/>
            </w:pPr>
            <w:r/>
            <w:r>
              <w:rPr>
                <w:sz w:val="20"/>
              </w:rPr>
              <w:t>0,545 ± 0,021</w:t>
            </w:r>
          </w:p>
        </w:tc>
        <w:tc>
          <w:tcPr>
            <w:tcW w:type="dxa" w:w="737"/>
          </w:tcPr>
          <w:p>
            <w:pPr>
              <w:spacing w:after="0"/>
            </w:pPr>
            <w:r/>
            <w:r>
              <w:rPr>
                <w:sz w:val="20"/>
              </w:rPr>
              <w:t>0,685</w:t>
            </w:r>
          </w:p>
        </w:tc>
        <w:tc>
          <w:tcPr>
            <w:tcW w:type="dxa" w:w="850"/>
          </w:tcPr>
          <w:p>
            <w:pPr>
              <w:spacing w:after="0"/>
            </w:pPr>
            <w:r/>
            <w:r>
              <w:rPr>
                <w:sz w:val="20"/>
              </w:rPr>
              <w:t>0,453</w:t>
            </w:r>
          </w:p>
        </w:tc>
        <w:tc>
          <w:tcPr>
            <w:tcW w:type="dxa" w:w="737"/>
          </w:tcPr>
          <w:p>
            <w:pPr>
              <w:spacing w:after="0"/>
            </w:pPr>
            <w:r/>
            <w:r>
              <w:rPr>
                <w:sz w:val="20"/>
              </w:rPr>
              <w:t>0,745</w:t>
            </w:r>
          </w:p>
        </w:tc>
        <w:tc>
          <w:tcPr>
            <w:tcW w:type="dxa" w:w="680"/>
          </w:tcPr>
          <w:p>
            <w:pPr>
              <w:spacing w:after="0"/>
            </w:pPr>
            <w:r/>
            <w:r>
              <w:rPr>
                <w:sz w:val="20"/>
              </w:rPr>
              <w:t>0,824</w:t>
            </w:r>
          </w:p>
        </w:tc>
        <w:tc>
          <w:tcPr>
            <w:tcW w:type="dxa" w:w="680"/>
          </w:tcPr>
          <w:p>
            <w:pPr>
              <w:spacing w:after="0"/>
            </w:pPr>
            <w:r/>
            <w:r>
              <w:rPr>
                <w:sz w:val="20"/>
              </w:rPr>
              <w:t>0,783</w:t>
            </w:r>
          </w:p>
        </w:tc>
        <w:tc>
          <w:tcPr>
            <w:tcW w:type="dxa" w:w="1474"/>
          </w:tcPr>
          <w:p>
            <w:pPr>
              <w:spacing w:after="0"/>
            </w:pPr>
            <w:r/>
            <w:r>
              <w:rPr>
                <w:sz w:val="20"/>
              </w:rPr>
              <w:t>+0,268; p&lt;0,001</w:t>
            </w:r>
          </w:p>
        </w:tc>
      </w:tr>
      <w:tr>
        <w:tc>
          <w:tcPr>
            <w:tcW w:type="dxa" w:w="2608"/>
          </w:tcPr>
          <w:p>
            <w:pPr>
              <w:spacing w:after="0"/>
            </w:pPr>
            <w:r/>
            <w:r>
              <w:rPr>
                <w:sz w:val="20"/>
              </w:rPr>
              <w:t>Hồi quy logistic (cân bằng lớp, tuned)</w:t>
            </w:r>
          </w:p>
        </w:tc>
        <w:tc>
          <w:tcPr>
            <w:tcW w:type="dxa" w:w="1077"/>
          </w:tcPr>
          <w:p>
            <w:pPr>
              <w:spacing w:after="0"/>
            </w:pPr>
            <w:r/>
            <w:r>
              <w:rPr>
                <w:sz w:val="20"/>
              </w:rPr>
              <w:t>0,535 ± 0,021</w:t>
            </w:r>
          </w:p>
        </w:tc>
        <w:tc>
          <w:tcPr>
            <w:tcW w:type="dxa" w:w="737"/>
          </w:tcPr>
          <w:p>
            <w:pPr>
              <w:spacing w:after="0"/>
            </w:pPr>
            <w:r/>
            <w:r>
              <w:rPr>
                <w:sz w:val="20"/>
              </w:rPr>
              <w:t>0,787</w:t>
            </w:r>
          </w:p>
        </w:tc>
        <w:tc>
          <w:tcPr>
            <w:tcW w:type="dxa" w:w="850"/>
          </w:tcPr>
          <w:p>
            <w:pPr>
              <w:spacing w:after="0"/>
            </w:pPr>
            <w:r/>
            <w:r>
              <w:rPr>
                <w:sz w:val="20"/>
              </w:rPr>
              <w:t>0,405</w:t>
            </w:r>
          </w:p>
        </w:tc>
        <w:tc>
          <w:tcPr>
            <w:tcW w:type="dxa" w:w="737"/>
          </w:tcPr>
          <w:p>
            <w:pPr>
              <w:spacing w:after="0"/>
            </w:pPr>
            <w:r/>
            <w:r>
              <w:rPr>
                <w:sz w:val="20"/>
              </w:rPr>
              <w:t>0,758</w:t>
            </w:r>
          </w:p>
        </w:tc>
        <w:tc>
          <w:tcPr>
            <w:tcW w:type="dxa" w:w="680"/>
          </w:tcPr>
          <w:p>
            <w:pPr>
              <w:spacing w:after="0"/>
            </w:pPr>
            <w:r/>
            <w:r>
              <w:rPr>
                <w:sz w:val="20"/>
              </w:rPr>
              <w:t>0,828</w:t>
            </w:r>
          </w:p>
        </w:tc>
        <w:tc>
          <w:tcPr>
            <w:tcW w:type="dxa" w:w="680"/>
          </w:tcPr>
          <w:p>
            <w:pPr>
              <w:spacing w:after="0"/>
            </w:pPr>
            <w:r/>
            <w:r>
              <w:rPr>
                <w:sz w:val="20"/>
              </w:rPr>
              <w:t>0,740</w:t>
            </w:r>
          </w:p>
        </w:tc>
        <w:tc>
          <w:tcPr>
            <w:tcW w:type="dxa" w:w="1474"/>
          </w:tcPr>
          <w:p>
            <w:pPr>
              <w:spacing w:after="0"/>
            </w:pPr>
            <w:r/>
            <w:r>
              <w:rPr>
                <w:sz w:val="20"/>
              </w:rPr>
              <w:t>+0,258; p&lt;0,001</w:t>
            </w:r>
          </w:p>
        </w:tc>
      </w:tr>
      <w:tr>
        <w:tc>
          <w:tcPr>
            <w:tcW w:type="dxa" w:w="2608"/>
          </w:tcPr>
          <w:p>
            <w:pPr>
              <w:spacing w:after="0"/>
            </w:pPr>
            <w:r/>
            <w:r>
              <w:rPr>
                <w:sz w:val="20"/>
              </w:rPr>
              <w:t>PCA + SVM RBF (tuned)</w:t>
            </w:r>
          </w:p>
        </w:tc>
        <w:tc>
          <w:tcPr>
            <w:tcW w:type="dxa" w:w="1077"/>
          </w:tcPr>
          <w:p>
            <w:pPr>
              <w:spacing w:after="0"/>
            </w:pPr>
            <w:r/>
            <w:r>
              <w:rPr>
                <w:sz w:val="20"/>
              </w:rPr>
              <w:t>0,533 ± 0,016</w:t>
            </w:r>
          </w:p>
        </w:tc>
        <w:tc>
          <w:tcPr>
            <w:tcW w:type="dxa" w:w="737"/>
          </w:tcPr>
          <w:p>
            <w:pPr>
              <w:spacing w:after="0"/>
            </w:pPr>
            <w:r/>
            <w:r>
              <w:rPr>
                <w:sz w:val="20"/>
              </w:rPr>
              <w:t>0,803</w:t>
            </w:r>
          </w:p>
        </w:tc>
        <w:tc>
          <w:tcPr>
            <w:tcW w:type="dxa" w:w="850"/>
          </w:tcPr>
          <w:p>
            <w:pPr>
              <w:spacing w:after="0"/>
            </w:pPr>
            <w:r/>
            <w:r>
              <w:rPr>
                <w:sz w:val="20"/>
              </w:rPr>
              <w:t>0,400</w:t>
            </w:r>
          </w:p>
        </w:tc>
        <w:tc>
          <w:tcPr>
            <w:tcW w:type="dxa" w:w="737"/>
          </w:tcPr>
          <w:p>
            <w:pPr>
              <w:spacing w:after="0"/>
            </w:pPr>
            <w:r/>
            <w:r>
              <w:rPr>
                <w:sz w:val="20"/>
              </w:rPr>
              <w:t>0,760</w:t>
            </w:r>
          </w:p>
        </w:tc>
        <w:tc>
          <w:tcPr>
            <w:tcW w:type="dxa" w:w="680"/>
          </w:tcPr>
          <w:p>
            <w:pPr>
              <w:spacing w:after="0"/>
            </w:pPr>
            <w:r/>
            <w:r>
              <w:rPr>
                <w:sz w:val="20"/>
              </w:rPr>
              <w:t>0,836</w:t>
            </w:r>
          </w:p>
        </w:tc>
        <w:tc>
          <w:tcPr>
            <w:tcW w:type="dxa" w:w="680"/>
          </w:tcPr>
          <w:p>
            <w:pPr>
              <w:spacing w:after="0"/>
            </w:pPr>
            <w:r/>
            <w:r>
              <w:rPr>
                <w:sz w:val="20"/>
              </w:rPr>
              <w:t>0,733</w:t>
            </w:r>
          </w:p>
        </w:tc>
        <w:tc>
          <w:tcPr>
            <w:tcW w:type="dxa" w:w="1474"/>
          </w:tcPr>
          <w:p>
            <w:pPr>
              <w:spacing w:after="0"/>
            </w:pPr>
            <w:r/>
            <w:r>
              <w:rPr>
                <w:sz w:val="20"/>
              </w:rPr>
              <w:t>+0,256; p&lt;0,001</w:t>
            </w:r>
          </w:p>
        </w:tc>
      </w:tr>
      <w:tr>
        <w:tc>
          <w:tcPr>
            <w:tcW w:type="dxa" w:w="2608"/>
          </w:tcPr>
          <w:p>
            <w:pPr>
              <w:spacing w:after="0"/>
            </w:pPr>
            <w:r/>
            <w:r>
              <w:rPr>
                <w:sz w:val="20"/>
              </w:rPr>
              <w:t>Cơ sở: Naive Bayes Gaussian</w:t>
            </w:r>
          </w:p>
        </w:tc>
        <w:tc>
          <w:tcPr>
            <w:tcW w:type="dxa" w:w="1077"/>
          </w:tcPr>
          <w:p>
            <w:pPr>
              <w:spacing w:after="0"/>
            </w:pPr>
            <w:r/>
            <w:r>
              <w:rPr>
                <w:sz w:val="20"/>
              </w:rPr>
              <w:t>0,495 ± 0,022</w:t>
            </w:r>
          </w:p>
        </w:tc>
        <w:tc>
          <w:tcPr>
            <w:tcW w:type="dxa" w:w="737"/>
          </w:tcPr>
          <w:p>
            <w:pPr>
              <w:spacing w:after="0"/>
            </w:pPr>
            <w:r/>
            <w:r>
              <w:rPr>
                <w:sz w:val="20"/>
              </w:rPr>
              <w:t>0,659</w:t>
            </w:r>
          </w:p>
        </w:tc>
        <w:tc>
          <w:tcPr>
            <w:tcW w:type="dxa" w:w="850"/>
          </w:tcPr>
          <w:p>
            <w:pPr>
              <w:spacing w:after="0"/>
            </w:pPr>
            <w:r/>
            <w:r>
              <w:rPr>
                <w:sz w:val="20"/>
              </w:rPr>
              <w:t>0,396</w:t>
            </w:r>
          </w:p>
        </w:tc>
        <w:tc>
          <w:tcPr>
            <w:tcW w:type="dxa" w:w="737"/>
          </w:tcPr>
          <w:p>
            <w:pPr>
              <w:spacing w:after="0"/>
            </w:pPr>
            <w:r/>
            <w:r>
              <w:rPr>
                <w:sz w:val="20"/>
              </w:rPr>
              <w:t>0,712</w:t>
            </w:r>
          </w:p>
        </w:tc>
        <w:tc>
          <w:tcPr>
            <w:tcW w:type="dxa" w:w="680"/>
          </w:tcPr>
          <w:p>
            <w:pPr>
              <w:spacing w:after="0"/>
            </w:pPr>
            <w:r/>
            <w:r>
              <w:rPr>
                <w:sz w:val="20"/>
              </w:rPr>
              <w:t>0,774</w:t>
            </w:r>
          </w:p>
        </w:tc>
        <w:tc>
          <w:tcPr>
            <w:tcW w:type="dxa" w:w="680"/>
          </w:tcPr>
          <w:p>
            <w:pPr>
              <w:spacing w:after="0"/>
            </w:pPr>
            <w:r/>
            <w:r>
              <w:rPr>
                <w:sz w:val="20"/>
              </w:rPr>
              <w:t>0,745</w:t>
            </w:r>
          </w:p>
        </w:tc>
        <w:tc>
          <w:tcPr>
            <w:tcW w:type="dxa" w:w="1474"/>
          </w:tcPr>
          <w:p>
            <w:pPr>
              <w:spacing w:after="0"/>
            </w:pPr>
            <w:r/>
            <w:r>
              <w:rPr>
                <w:sz w:val="20"/>
              </w:rPr>
              <w:t>+0,218; p&lt;0,001</w:t>
            </w:r>
          </w:p>
        </w:tc>
      </w:tr>
      <w:tr>
        <w:tc>
          <w:tcPr>
            <w:tcW w:type="dxa" w:w="2608"/>
          </w:tcPr>
          <w:p>
            <w:pPr>
              <w:spacing w:after="0"/>
            </w:pPr>
            <w:r/>
            <w:r>
              <w:rPr>
                <w:sz w:val="20"/>
              </w:rPr>
              <w:t>Gradient Boosting (HistGB)</w:t>
            </w:r>
          </w:p>
        </w:tc>
        <w:tc>
          <w:tcPr>
            <w:tcW w:type="dxa" w:w="1077"/>
          </w:tcPr>
          <w:p>
            <w:pPr>
              <w:spacing w:after="0"/>
            </w:pPr>
            <w:r/>
            <w:r>
              <w:rPr>
                <w:sz w:val="20"/>
              </w:rPr>
              <w:t>0,494 ± 0,026</w:t>
            </w:r>
          </w:p>
        </w:tc>
        <w:tc>
          <w:tcPr>
            <w:tcW w:type="dxa" w:w="737"/>
          </w:tcPr>
          <w:p>
            <w:pPr>
              <w:spacing w:after="0"/>
            </w:pPr>
            <w:r/>
            <w:r>
              <w:rPr>
                <w:sz w:val="20"/>
              </w:rPr>
              <w:t>0,418</w:t>
            </w:r>
          </w:p>
        </w:tc>
        <w:tc>
          <w:tcPr>
            <w:tcW w:type="dxa" w:w="850"/>
          </w:tcPr>
          <w:p>
            <w:pPr>
              <w:spacing w:after="0"/>
            </w:pPr>
            <w:r/>
            <w:r>
              <w:rPr>
                <w:sz w:val="20"/>
              </w:rPr>
              <w:t>0,606</w:t>
            </w:r>
          </w:p>
        </w:tc>
        <w:tc>
          <w:tcPr>
            <w:tcW w:type="dxa" w:w="737"/>
          </w:tcPr>
          <w:p>
            <w:pPr>
              <w:spacing w:after="0"/>
            </w:pPr>
            <w:r/>
            <w:r>
              <w:rPr>
                <w:sz w:val="20"/>
              </w:rPr>
              <w:t>0,677</w:t>
            </w:r>
          </w:p>
        </w:tc>
        <w:tc>
          <w:tcPr>
            <w:tcW w:type="dxa" w:w="680"/>
          </w:tcPr>
          <w:p>
            <w:pPr>
              <w:spacing w:after="0"/>
            </w:pPr>
            <w:r/>
            <w:r>
              <w:rPr>
                <w:sz w:val="20"/>
              </w:rPr>
              <w:t>0,851</w:t>
            </w:r>
          </w:p>
        </w:tc>
        <w:tc>
          <w:tcPr>
            <w:tcW w:type="dxa" w:w="680"/>
          </w:tcPr>
          <w:p>
            <w:pPr>
              <w:spacing w:after="0"/>
            </w:pPr>
            <w:r/>
            <w:r>
              <w:rPr>
                <w:sz w:val="20"/>
              </w:rPr>
              <w:t>0,838</w:t>
            </w:r>
          </w:p>
        </w:tc>
        <w:tc>
          <w:tcPr>
            <w:tcW w:type="dxa" w:w="1474"/>
          </w:tcPr>
          <w:p>
            <w:pPr>
              <w:spacing w:after="0"/>
            </w:pPr>
            <w:r/>
            <w:r>
              <w:rPr>
                <w:sz w:val="20"/>
              </w:rPr>
              <w:t>+0,217; p&lt;0,001</w:t>
            </w:r>
          </w:p>
        </w:tc>
      </w:tr>
      <w:tr>
        <w:tc>
          <w:tcPr>
            <w:tcW w:type="dxa" w:w="2608"/>
          </w:tcPr>
          <w:p>
            <w:pPr>
              <w:spacing w:after="0"/>
            </w:pPr>
            <w:r/>
            <w:r>
              <w:rPr>
                <w:sz w:val="20"/>
              </w:rPr>
              <w:t>k-NN + chuẩn hóa</w:t>
            </w:r>
          </w:p>
        </w:tc>
        <w:tc>
          <w:tcPr>
            <w:tcW w:type="dxa" w:w="1077"/>
          </w:tcPr>
          <w:p>
            <w:pPr>
              <w:spacing w:after="0"/>
            </w:pPr>
            <w:r/>
            <w:r>
              <w:rPr>
                <w:sz w:val="20"/>
              </w:rPr>
              <w:t>0,452 ± 0,036</w:t>
            </w:r>
          </w:p>
        </w:tc>
        <w:tc>
          <w:tcPr>
            <w:tcW w:type="dxa" w:w="737"/>
          </w:tcPr>
          <w:p>
            <w:pPr>
              <w:spacing w:after="0"/>
            </w:pPr>
            <w:r/>
            <w:r>
              <w:rPr>
                <w:sz w:val="20"/>
              </w:rPr>
              <w:t>0,362</w:t>
            </w:r>
          </w:p>
        </w:tc>
        <w:tc>
          <w:tcPr>
            <w:tcW w:type="dxa" w:w="850"/>
          </w:tcPr>
          <w:p>
            <w:pPr>
              <w:spacing w:after="0"/>
            </w:pPr>
            <w:r/>
            <w:r>
              <w:rPr>
                <w:sz w:val="20"/>
              </w:rPr>
              <w:t>0,604</w:t>
            </w:r>
          </w:p>
        </w:tc>
        <w:tc>
          <w:tcPr>
            <w:tcW w:type="dxa" w:w="737"/>
          </w:tcPr>
          <w:p>
            <w:pPr>
              <w:spacing w:after="0"/>
            </w:pPr>
            <w:r/>
            <w:r>
              <w:rPr>
                <w:sz w:val="20"/>
              </w:rPr>
              <w:t>0,653</w:t>
            </w:r>
          </w:p>
        </w:tc>
        <w:tc>
          <w:tcPr>
            <w:tcW w:type="dxa" w:w="680"/>
          </w:tcPr>
          <w:p>
            <w:pPr>
              <w:spacing w:after="0"/>
            </w:pPr>
            <w:r/>
            <w:r>
              <w:rPr>
                <w:sz w:val="20"/>
              </w:rPr>
              <w:t>0,826</w:t>
            </w:r>
          </w:p>
        </w:tc>
        <w:tc>
          <w:tcPr>
            <w:tcW w:type="dxa" w:w="680"/>
          </w:tcPr>
          <w:p>
            <w:pPr>
              <w:spacing w:after="0"/>
            </w:pPr>
            <w:r/>
            <w:r>
              <w:rPr>
                <w:sz w:val="20"/>
              </w:rPr>
              <w:t>0,834</w:t>
            </w:r>
          </w:p>
        </w:tc>
        <w:tc>
          <w:tcPr>
            <w:tcW w:type="dxa" w:w="1474"/>
          </w:tcPr>
          <w:p>
            <w:pPr>
              <w:spacing w:after="0"/>
            </w:pPr>
            <w:r/>
            <w:r>
              <w:rPr>
                <w:sz w:val="20"/>
              </w:rPr>
              <w:t>+0,175; p&lt;0,001</w:t>
            </w:r>
          </w:p>
        </w:tc>
      </w:tr>
      <w:tr>
        <w:tc>
          <w:tcPr>
            <w:tcW w:type="dxa" w:w="2608"/>
          </w:tcPr>
          <w:p>
            <w:pPr>
              <w:spacing w:after="0"/>
            </w:pPr>
            <w:r/>
            <w:r>
              <w:rPr>
                <w:sz w:val="20"/>
              </w:rPr>
              <w:t>Random Forest (cân bằng lớp)</w:t>
            </w:r>
          </w:p>
        </w:tc>
        <w:tc>
          <w:tcPr>
            <w:tcW w:type="dxa" w:w="1077"/>
          </w:tcPr>
          <w:p>
            <w:pPr>
              <w:spacing w:after="0"/>
            </w:pPr>
            <w:r/>
            <w:r>
              <w:rPr>
                <w:sz w:val="20"/>
              </w:rPr>
              <w:t>0,450 ± 0,029</w:t>
            </w:r>
          </w:p>
        </w:tc>
        <w:tc>
          <w:tcPr>
            <w:tcW w:type="dxa" w:w="737"/>
          </w:tcPr>
          <w:p>
            <w:pPr>
              <w:spacing w:after="0"/>
            </w:pPr>
            <w:r/>
            <w:r>
              <w:rPr>
                <w:sz w:val="20"/>
              </w:rPr>
              <w:t>0,339</w:t>
            </w:r>
          </w:p>
        </w:tc>
        <w:tc>
          <w:tcPr>
            <w:tcW w:type="dxa" w:w="850"/>
          </w:tcPr>
          <w:p>
            <w:pPr>
              <w:spacing w:after="0"/>
            </w:pPr>
            <w:r/>
            <w:r>
              <w:rPr>
                <w:sz w:val="20"/>
              </w:rPr>
              <w:t>0,672</w:t>
            </w:r>
          </w:p>
        </w:tc>
        <w:tc>
          <w:tcPr>
            <w:tcW w:type="dxa" w:w="737"/>
          </w:tcPr>
          <w:p>
            <w:pPr>
              <w:spacing w:after="0"/>
            </w:pPr>
            <w:r/>
            <w:r>
              <w:rPr>
                <w:sz w:val="20"/>
              </w:rPr>
              <w:t>0,650</w:t>
            </w:r>
          </w:p>
        </w:tc>
        <w:tc>
          <w:tcPr>
            <w:tcW w:type="dxa" w:w="680"/>
          </w:tcPr>
          <w:p>
            <w:pPr>
              <w:spacing w:after="0"/>
            </w:pPr>
            <w:r/>
            <w:r>
              <w:rPr>
                <w:sz w:val="20"/>
              </w:rPr>
              <w:t>0,860</w:t>
            </w:r>
          </w:p>
        </w:tc>
        <w:tc>
          <w:tcPr>
            <w:tcW w:type="dxa" w:w="680"/>
          </w:tcPr>
          <w:p>
            <w:pPr>
              <w:spacing w:after="0"/>
            </w:pPr>
            <w:r/>
            <w:r>
              <w:rPr>
                <w:sz w:val="20"/>
              </w:rPr>
              <w:t>0,843</w:t>
            </w:r>
          </w:p>
        </w:tc>
        <w:tc>
          <w:tcPr>
            <w:tcW w:type="dxa" w:w="1474"/>
          </w:tcPr>
          <w:p>
            <w:pPr>
              <w:spacing w:after="0"/>
            </w:pPr>
            <w:r/>
            <w:r>
              <w:rPr>
                <w:sz w:val="20"/>
              </w:rPr>
              <w:t>+0,173; p&lt;0,001</w:t>
            </w:r>
          </w:p>
        </w:tc>
      </w:tr>
      <w:tr>
        <w:tc>
          <w:tcPr>
            <w:tcW w:type="dxa" w:w="2608"/>
          </w:tcPr>
          <w:p>
            <w:pPr>
              <w:spacing w:after="0"/>
            </w:pPr>
            <w:r/>
            <w:r>
              <w:rPr>
                <w:sz w:val="20"/>
              </w:rPr>
              <w:t>LDA</w:t>
            </w:r>
          </w:p>
        </w:tc>
        <w:tc>
          <w:tcPr>
            <w:tcW w:type="dxa" w:w="1077"/>
          </w:tcPr>
          <w:p>
            <w:pPr>
              <w:spacing w:after="0"/>
            </w:pPr>
            <w:r/>
            <w:r>
              <w:rPr>
                <w:sz w:val="20"/>
              </w:rPr>
              <w:t>0,423 ± 0,034</w:t>
            </w:r>
          </w:p>
        </w:tc>
        <w:tc>
          <w:tcPr>
            <w:tcW w:type="dxa" w:w="737"/>
          </w:tcPr>
          <w:p>
            <w:pPr>
              <w:spacing w:after="0"/>
            </w:pPr>
            <w:r/>
            <w:r>
              <w:rPr>
                <w:sz w:val="20"/>
              </w:rPr>
              <w:t>0,341</w:t>
            </w:r>
          </w:p>
        </w:tc>
        <w:tc>
          <w:tcPr>
            <w:tcW w:type="dxa" w:w="850"/>
          </w:tcPr>
          <w:p>
            <w:pPr>
              <w:spacing w:after="0"/>
            </w:pPr>
            <w:r/>
            <w:r>
              <w:rPr>
                <w:sz w:val="20"/>
              </w:rPr>
              <w:t>0,560</w:t>
            </w:r>
          </w:p>
        </w:tc>
        <w:tc>
          <w:tcPr>
            <w:tcW w:type="dxa" w:w="737"/>
          </w:tcPr>
          <w:p>
            <w:pPr>
              <w:spacing w:after="0"/>
            </w:pPr>
            <w:r/>
            <w:r>
              <w:rPr>
                <w:sz w:val="20"/>
              </w:rPr>
              <w:t>0,639</w:t>
            </w:r>
          </w:p>
        </w:tc>
        <w:tc>
          <w:tcPr>
            <w:tcW w:type="dxa" w:w="680"/>
          </w:tcPr>
          <w:p>
            <w:pPr>
              <w:spacing w:after="0"/>
            </w:pPr>
            <w:r/>
            <w:r>
              <w:rPr>
                <w:sz w:val="20"/>
              </w:rPr>
              <w:t>0,826</w:t>
            </w:r>
          </w:p>
        </w:tc>
        <w:tc>
          <w:tcPr>
            <w:tcW w:type="dxa" w:w="680"/>
          </w:tcPr>
          <w:p>
            <w:pPr>
              <w:spacing w:after="0"/>
            </w:pPr>
            <w:r/>
            <w:r>
              <w:rPr>
                <w:sz w:val="20"/>
              </w:rPr>
              <w:t>0,824</w:t>
            </w:r>
          </w:p>
        </w:tc>
        <w:tc>
          <w:tcPr>
            <w:tcW w:type="dxa" w:w="1474"/>
          </w:tcPr>
          <w:p>
            <w:pPr>
              <w:spacing w:after="0"/>
            </w:pPr>
            <w:r/>
            <w:r>
              <w:rPr>
                <w:sz w:val="20"/>
              </w:rPr>
              <w:t>+0,146; p&lt;0,001</w:t>
            </w:r>
          </w:p>
        </w:tc>
      </w:tr>
      <w:tr>
        <w:tc>
          <w:tcPr>
            <w:tcW w:type="dxa" w:w="2608"/>
          </w:tcPr>
          <w:p>
            <w:pPr>
              <w:spacing w:after="0"/>
            </w:pPr>
            <w:r/>
            <w:r>
              <w:rPr>
                <w:sz w:val="20"/>
              </w:rPr>
              <w:t>Cơ sở: k-NN (k=5, không chuẩn hóa)</w:t>
            </w:r>
          </w:p>
        </w:tc>
        <w:tc>
          <w:tcPr>
            <w:tcW w:type="dxa" w:w="1077"/>
          </w:tcPr>
          <w:p>
            <w:pPr>
              <w:spacing w:after="0"/>
            </w:pPr>
            <w:r/>
            <w:r>
              <w:rPr>
                <w:sz w:val="20"/>
              </w:rPr>
              <w:t>0,277 ± 0,021</w:t>
            </w:r>
          </w:p>
        </w:tc>
        <w:tc>
          <w:tcPr>
            <w:tcW w:type="dxa" w:w="737"/>
          </w:tcPr>
          <w:p>
            <w:pPr>
              <w:spacing w:after="0"/>
            </w:pPr>
            <w:r/>
            <w:r>
              <w:rPr>
                <w:sz w:val="20"/>
              </w:rPr>
              <w:t>0,210</w:t>
            </w:r>
          </w:p>
        </w:tc>
        <w:tc>
          <w:tcPr>
            <w:tcW w:type="dxa" w:w="850"/>
          </w:tcPr>
          <w:p>
            <w:pPr>
              <w:spacing w:after="0"/>
            </w:pPr>
            <w:r/>
            <w:r>
              <w:rPr>
                <w:sz w:val="20"/>
              </w:rPr>
              <w:t>0,407</w:t>
            </w:r>
          </w:p>
        </w:tc>
        <w:tc>
          <w:tcPr>
            <w:tcW w:type="dxa" w:w="737"/>
          </w:tcPr>
          <w:p>
            <w:pPr>
              <w:spacing w:after="0"/>
            </w:pPr>
            <w:r/>
            <w:r>
              <w:rPr>
                <w:sz w:val="20"/>
              </w:rPr>
              <w:t>0,569</w:t>
            </w:r>
          </w:p>
        </w:tc>
        <w:tc>
          <w:tcPr>
            <w:tcW w:type="dxa" w:w="680"/>
          </w:tcPr>
          <w:p>
            <w:pPr>
              <w:spacing w:after="0"/>
            </w:pPr>
            <w:r/>
            <w:r>
              <w:rPr>
                <w:sz w:val="20"/>
              </w:rPr>
              <w:t>0,692</w:t>
            </w:r>
          </w:p>
        </w:tc>
        <w:tc>
          <w:tcPr>
            <w:tcW w:type="dxa" w:w="680"/>
          </w:tcPr>
          <w:p>
            <w:pPr>
              <w:spacing w:after="0"/>
            </w:pPr>
            <w:r/>
            <w:r>
              <w:rPr>
                <w:sz w:val="20"/>
              </w:rPr>
              <w:t>0,792</w:t>
            </w:r>
          </w:p>
        </w:tc>
        <w:tc>
          <w:tcPr>
            <w:tcW w:type="dxa" w:w="1474"/>
          </w:tcPr>
          <w:p>
            <w:pPr>
              <w:spacing w:after="0"/>
            </w:pPr>
            <w:r/>
            <w:r>
              <w:rPr>
                <w:sz w:val="20"/>
              </w:rPr>
              <w:t>–</w:t>
            </w:r>
          </w:p>
        </w:tc>
      </w:tr>
      <w:tr>
        <w:tc>
          <w:tcPr>
            <w:tcW w:type="dxa" w:w="2608"/>
          </w:tcPr>
          <w:p>
            <w:pPr>
              <w:spacing w:after="0"/>
            </w:pPr>
            <w:r/>
            <w:r>
              <w:rPr>
                <w:sz w:val="20"/>
              </w:rPr>
              <w:t>Tham chiếu: luôn đoán lớp đa số</w:t>
            </w:r>
          </w:p>
        </w:tc>
        <w:tc>
          <w:tcPr>
            <w:tcW w:type="dxa" w:w="1077"/>
          </w:tcPr>
          <w:p>
            <w:pPr>
              <w:spacing w:after="0"/>
            </w:pPr>
            <w:r/>
            <w:r>
              <w:rPr>
                <w:sz w:val="20"/>
              </w:rPr>
              <w:t>0,000 ± 0,000</w:t>
            </w:r>
          </w:p>
        </w:tc>
        <w:tc>
          <w:tcPr>
            <w:tcW w:type="dxa" w:w="737"/>
          </w:tcPr>
          <w:p>
            <w:pPr>
              <w:spacing w:after="0"/>
            </w:pPr>
            <w:r/>
            <w:r>
              <w:rPr>
                <w:sz w:val="20"/>
              </w:rPr>
              <w:t>0,000</w:t>
            </w:r>
          </w:p>
        </w:tc>
        <w:tc>
          <w:tcPr>
            <w:tcW w:type="dxa" w:w="850"/>
          </w:tcPr>
          <w:p>
            <w:pPr>
              <w:spacing w:after="0"/>
            </w:pPr>
            <w:r/>
            <w:r>
              <w:rPr>
                <w:sz w:val="20"/>
              </w:rPr>
              <w:t>0,000</w:t>
            </w:r>
          </w:p>
        </w:tc>
        <w:tc>
          <w:tcPr>
            <w:tcW w:type="dxa" w:w="737"/>
          </w:tcPr>
          <w:p>
            <w:pPr>
              <w:spacing w:after="0"/>
            </w:pPr>
            <w:r/>
            <w:r>
              <w:rPr>
                <w:sz w:val="20"/>
              </w:rPr>
              <w:t>0,500</w:t>
            </w:r>
          </w:p>
        </w:tc>
        <w:tc>
          <w:tcPr>
            <w:tcW w:type="dxa" w:w="680"/>
          </w:tcPr>
          <w:p>
            <w:pPr>
              <w:spacing w:after="0"/>
            </w:pPr>
            <w:r/>
            <w:r>
              <w:rPr>
                <w:sz w:val="20"/>
              </w:rPr>
              <w:t>0,500</w:t>
            </w:r>
          </w:p>
        </w:tc>
        <w:tc>
          <w:tcPr>
            <w:tcW w:type="dxa" w:w="680"/>
          </w:tcPr>
          <w:p>
            <w:pPr>
              <w:spacing w:after="0"/>
            </w:pPr>
            <w:r/>
            <w:r>
              <w:rPr>
                <w:sz w:val="20"/>
              </w:rPr>
              <w:t>0,810</w:t>
            </w:r>
          </w:p>
        </w:tc>
        <w:tc>
          <w:tcPr>
            <w:tcW w:type="dxa" w:w="1474"/>
          </w:tcPr>
          <w:p>
            <w:pPr>
              <w:spacing w:after="0"/>
            </w:pPr>
            <w:r/>
            <w:r>
              <w:rPr>
                <w:sz w:val="20"/>
              </w:rPr>
              <w:t>−0,277; p&lt;0,001</w:t>
            </w:r>
          </w:p>
        </w:tc>
      </w:tr>
    </w:tbl>
    <w:p>
      <w:pPr>
        <w:jc w:val="center"/>
      </w:pPr>
      <w:r>
        <w:rPr>
          <w:b w:val="0"/>
          <w:i/>
          <w:sz w:val="22"/>
        </w:rPr>
        <w:t>Bảng 2. Kết quả trung bình 15 fold, xếp theo F1 giảm dần (ngưỡng mặc định). p theo t-test hiệu chỉnh Nadeau–Bengio.</w:t>
      </w:r>
    </w:p>
    <w:p>
      <w:pPr>
        <w:jc w:val="center"/>
      </w:pPr>
      <w:r>
        <w:drawing>
          <wp:inline xmlns:a="http://schemas.openxmlformats.org/drawingml/2006/main" xmlns:pic="http://schemas.openxmlformats.org/drawingml/2006/picture">
            <wp:extent cx="4860000" cy="3087529"/>
            <wp:docPr id="4" name="Picture 4"/>
            <wp:cNvGraphicFramePr>
              <a:graphicFrameLocks noChangeAspect="1"/>
            </wp:cNvGraphicFramePr>
            <a:graphic>
              <a:graphicData uri="http://schemas.openxmlformats.org/drawingml/2006/picture">
                <pic:pic>
                  <pic:nvPicPr>
                    <pic:cNvPr id="0" name="cv_boxplot.png"/>
                    <pic:cNvPicPr/>
                  </pic:nvPicPr>
                  <pic:blipFill>
                    <a:blip r:embed="rId12"/>
                    <a:stretch>
                      <a:fillRect/>
                    </a:stretch>
                  </pic:blipFill>
                  <pic:spPr>
                    <a:xfrm>
                      <a:off x="0" y="0"/>
                      <a:ext cx="4860000" cy="3087529"/>
                    </a:xfrm>
                    <a:prstGeom prst="rect"/>
                  </pic:spPr>
                </pic:pic>
              </a:graphicData>
            </a:graphic>
          </wp:inline>
        </w:drawing>
      </w:r>
    </w:p>
    <w:p>
      <w:pPr>
        <w:jc w:val="center"/>
      </w:pPr>
      <w:r>
        <w:rPr>
          <w:b w:val="0"/>
          <w:i/>
          <w:sz w:val="22"/>
        </w:rPr>
        <w:t>Hình 4. Phân bố F1 trên 15 fold.</w:t>
      </w:r>
    </w:p>
    <w:p>
      <w:pPr>
        <w:pStyle w:val="Heading2"/>
      </w:pPr>
      <w:r>
        <w:t>4.1 Nhận xét</w:t>
      </w:r>
    </w:p>
    <w:p>
      <w:pPr>
        <w:pStyle w:val="ListBullet"/>
      </w:pPr>
      <w:r>
        <w:rPr>
          <w:b w:val="0"/>
          <w:i w:val="0"/>
        </w:rPr>
        <w:t>Accuracy gây hiểu nhầm: bộ 'luôn đoán thường' đạt accuracy 81,0%, cao hơn cả SVM (74,7%), nhưng F1 = 0. Phương án cơ sở k-NN thô chỉ bắt được 21,0% rượu ngon (F1 = 0,277).</w:t>
      </w:r>
    </w:p>
    <w:p>
      <w:pPr>
        <w:pStyle w:val="ListBullet"/>
      </w:pPr>
      <w:r>
        <w:rPr>
          <w:b w:val="0"/>
          <w:i w:val="0"/>
        </w:rPr>
        <w:t>Chuẩn hóa giúp k-NN tăng F1 từ 0,277 lên 0,452 và AUC từ 0,692 lên 0,826: khoảng cách Euclid trên dữ liệu thô bị chi phối bởi SO₂ tự do/tổng (giá trị hàng chục–hàng trăm), trong khi độ cồn – đặc trưng quan trọng nhất – chỉ dao động 8–14.</w:t>
      </w:r>
    </w:p>
    <w:p>
      <w:pPr>
        <w:pStyle w:val="ListBullet"/>
      </w:pPr>
      <w:r>
        <w:rPr>
          <w:b w:val="0"/>
          <w:i w:val="0"/>
        </w:rPr>
        <w:t>Trọng số cân bằng lớp là yếu tố quyết định F1: SVM và hồi quy logistic (có cân bằng lớp) đạt recall 0,79–0,81 nhưng precision chỉ ~0,4. QDA, nhờ ước lượng hiệp phương sai riêng cho lớp thiểu số, cũng có recall cao (0,69) mà không cần trọng số. Ba mô hình SVM, QDA, hồi quy logistic chênh nhau nhỏ hơn độ lệch chuẩn giữa các fold nên coi như tương đương; SVM RBF nhỉnh nhất trong nhóm phân lớp trực tiếp, nên được dùng cho phân tích lỗi ở Mục 5 và cho demo.</w:t>
      </w:r>
    </w:p>
    <w:p>
      <w:pPr>
        <w:pStyle w:val="ListBullet"/>
      </w:pPr>
      <w:r>
        <w:rPr>
          <w:b w:val="0"/>
          <w:i w:val="0"/>
        </w:rPr>
        <w:t>Random Forest có AUC cao nhất (0,860) nhưng F1 ở ngưỡng 0,5 thấp (0,450) do recall chỉ 0,34: mô hình xếp hạng tốt nhưng ngưỡng mặc định không phù hợp với lớp thiểu số. Mục 5.3 cho thấy khi chỉnh ngưỡng, khoảng cách giữa các mô hình thu hẹp đáng kể.</w:t>
      </w:r>
    </w:p>
    <w:p>
      <w:pPr>
        <w:pStyle w:val="ListBullet"/>
      </w:pPr>
      <w:r>
        <w:rPr>
          <w:b w:val="0"/>
          <w:i w:val="0"/>
        </w:rPr>
        <w:t>Chọn đặc trưng: khi chọn trên toàn bộ dữ liệu, nested CV giữ k = 12 đặc trưng (fixed acidity, volatile acidity, citric acid, residual sugar, chlorides, free sulfur dioxide, total sulfur dioxide, density, pH, sulphates, alcohol, is_red). F1 = 0,548, AUC = 0,848 so với SVM đầy đủ 0,548 / 0,848. Bỏ bớt đặc trưng không giúp tăng chất lượng: các chỉ tiêu có F-score thấp vẫn mang thông tin bổ sung cho mô hình phi tuyến, khớp với kết quả ở Mục 5.5.</w:t>
      </w:r>
    </w:p>
    <w:p>
      <w:pPr>
        <w:pStyle w:val="ListBullet"/>
      </w:pPr>
      <w:r>
        <w:rPr>
          <w:b w:val="0"/>
          <w:i w:val="0"/>
        </w:rPr>
        <w:t>Hồi quy thứ bậc (SVR): F1 = 0,570, recall = 0,690, precision = 0,486, AUC = 0,852 (ngưỡng điểm trung bình 6,12); hơn SVM 0,021 điểm F1 với p = 0,041 – ý nghĩa thống kê ở mức vừa phải. Tận dụng thứ tự của nhãn cho kết quả ngang hoặc tốt hơn các bộ phân loại nhị phân tốt nhất, một hướng đáng chú ý cho bài toán này.</w:t>
      </w:r>
    </w:p>
    <w:p>
      <w:pPr>
        <w:pStyle w:val="ListBullet"/>
      </w:pPr>
      <w:r>
        <w:rPr>
          <w:b w:val="0"/>
          <w:i w:val="0"/>
        </w:rPr>
        <w:t>LDA không cải thiện F1 (biên tuyến tính, không bù mất cân bằng); PCA + SVM kém SVM đầy đủ một chút – thông tin không tập trung vào vài thành phần đầu (khớp với Hình 3).</w:t>
      </w:r>
    </w:p>
    <w:p>
      <w:pPr>
        <w:jc w:val="center"/>
      </w:pPr>
      <w:r>
        <w:drawing>
          <wp:inline xmlns:a="http://schemas.openxmlformats.org/drawingml/2006/main" xmlns:pic="http://schemas.openxmlformats.org/drawingml/2006/picture">
            <wp:extent cx="5580000" cy="2134957"/>
            <wp:docPr id="5" name="Picture 5"/>
            <wp:cNvGraphicFramePr>
              <a:graphicFrameLocks noChangeAspect="1"/>
            </wp:cNvGraphicFramePr>
            <a:graphic>
              <a:graphicData uri="http://schemas.openxmlformats.org/drawingml/2006/picture">
                <pic:pic>
                  <pic:nvPicPr>
                    <pic:cNvPr id="0" name="roc_pr.png"/>
                    <pic:cNvPicPr/>
                  </pic:nvPicPr>
                  <pic:blipFill>
                    <a:blip r:embed="rId13"/>
                    <a:stretch>
                      <a:fillRect/>
                    </a:stretch>
                  </pic:blipFill>
                  <pic:spPr>
                    <a:xfrm>
                      <a:off x="0" y="0"/>
                      <a:ext cx="5580000" cy="2134957"/>
                    </a:xfrm>
                    <a:prstGeom prst="rect"/>
                  </pic:spPr>
                </pic:pic>
              </a:graphicData>
            </a:graphic>
          </wp:inline>
        </w:drawing>
      </w:r>
    </w:p>
    <w:p>
      <w:pPr>
        <w:jc w:val="center"/>
      </w:pPr>
      <w:r>
        <w:rPr>
          <w:b w:val="0"/>
          <w:i/>
          <w:sz w:val="22"/>
        </w:rPr>
        <w:t>Hình 5. Đường ROC và Precision–Recall (dự đoán ngoài-fold).</w:t>
      </w:r>
    </w:p>
    <w:p>
      <w:pPr>
        <w:pStyle w:val="Heading1"/>
      </w:pPr>
      <w:r>
        <w:t>5. Phân tích lỗi</w:t>
      </w:r>
    </w:p>
    <w:p>
      <w:pPr>
        <w:pStyle w:val="Heading2"/>
      </w:pPr>
      <w:r>
        <w:t>5.1 Ma trận nhầm lẫn</w:t>
      </w:r>
    </w:p>
    <w:p>
      <w:pPr>
        <w:jc w:val="center"/>
      </w:pPr>
      <w:r>
        <w:drawing>
          <wp:inline xmlns:a="http://schemas.openxmlformats.org/drawingml/2006/main" xmlns:pic="http://schemas.openxmlformats.org/drawingml/2006/picture">
            <wp:extent cx="5760000" cy="1772308"/>
            <wp:docPr id="6" name="Picture 6"/>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5760000" cy="1772308"/>
                    </a:xfrm>
                    <a:prstGeom prst="rect"/>
                  </pic:spPr>
                </pic:pic>
              </a:graphicData>
            </a:graphic>
          </wp:inline>
        </w:drawing>
      </w:r>
    </w:p>
    <w:p>
      <w:pPr>
        <w:jc w:val="center"/>
      </w:pPr>
      <w:r>
        <w:rPr>
          <w:b w:val="0"/>
          <w:i/>
          <w:sz w:val="22"/>
        </w:rPr>
        <w:t>Hình 6. Ma trận nhầm lẫn (dự đoán ngoài-fold).</w:t>
      </w:r>
    </w:p>
    <w:p>
      <w:r>
        <w:rPr>
          <w:b w:val="0"/>
          <w:i w:val="0"/>
        </w:rPr>
        <w:t>Cơ sở bỏ sót 797/1009 rượu ngon. SVM giảm bỏ sót xuống 189 nhưng đổi lại 1160 báo nhầm (so với 318). Với bài toán chọn lô cao cấp, đây là đánh đổi phải được quyết định theo chi phí thực tế: nếu báo nhầm đắt (bán rượu thường với giá cao), cần nâng ngưỡng.</w:t>
      </w:r>
    </w:p>
    <w:p>
      <w:pPr>
        <w:pStyle w:val="Heading2"/>
      </w:pPr>
      <w:r>
        <w:t>5.2 Lỗi tập trung ở ranh giới điểm 6/7</w:t>
      </w:r>
    </w:p>
    <w:p>
      <w:pPr>
        <w:jc w:val="center"/>
      </w:pPr>
      <w:r>
        <w:drawing>
          <wp:inline xmlns:a="http://schemas.openxmlformats.org/drawingml/2006/main" xmlns:pic="http://schemas.openxmlformats.org/drawingml/2006/picture">
            <wp:extent cx="3960000" cy="2427097"/>
            <wp:docPr id="7" name="Picture 7"/>
            <wp:cNvGraphicFramePr>
              <a:graphicFrameLocks noChangeAspect="1"/>
            </wp:cNvGraphicFramePr>
            <a:graphic>
              <a:graphicData uri="http://schemas.openxmlformats.org/drawingml/2006/picture">
                <pic:pic>
                  <pic:nvPicPr>
                    <pic:cNvPr id="0" name="pred_by_quality.png"/>
                    <pic:cNvPicPr/>
                  </pic:nvPicPr>
                  <pic:blipFill>
                    <a:blip r:embed="rId15"/>
                    <a:stretch>
                      <a:fillRect/>
                    </a:stretch>
                  </pic:blipFill>
                  <pic:spPr>
                    <a:xfrm>
                      <a:off x="0" y="0"/>
                      <a:ext cx="3960000" cy="2427097"/>
                    </a:xfrm>
                    <a:prstGeom prst="rect"/>
                  </pic:spPr>
                </pic:pic>
              </a:graphicData>
            </a:graphic>
          </wp:inline>
        </w:drawing>
      </w:r>
    </w:p>
    <w:p>
      <w:pPr>
        <w:jc w:val="center"/>
      </w:pPr>
      <w:r>
        <w:rPr>
          <w:b w:val="0"/>
          <w:i/>
          <w:sz w:val="22"/>
        </w:rPr>
        <w:t>Hình 7. Tỉ lệ SVM dự đoán 'chất lượng cao' theo điểm thực tế.</w:t>
      </w:r>
    </w:p>
    <w:p>
      <w:r>
        <w:rPr>
          <w:b w:val="0"/>
          <w:i w:val="0"/>
        </w:rPr>
        <w:t>Mô hình dự đoán 'cao' cho 42,0% rượu điểm 6 nhưng chỉ 9,1% rượu điểm 5; với điểm 7 và 8 lần lượt là 80,1% và 87,8%. Như vậy khoảng 976/1160 báo nhầm (84,1%) là rượu điểm 6. Từ điểm 5 trở lên, tỉ lệ dự đoán 'cao' tăng dần theo điểm thật, cho thấy mô hình nắm được thứ bậc chất lượng (điểm 3–4 quá ít mẫu để kết luận); lỗi chủ yếu do ranh giới 6/7 là quy ước của con người, trong khi điểm cảm quan vốn có nhiễu.</w:t>
      </w:r>
    </w:p>
    <w:p>
      <w:pPr>
        <w:pStyle w:val="Heading2"/>
      </w:pPr>
      <w:r>
        <w:t>5.3 Đặc điểm mẫu bị nhầm và ảnh hưởng của ngưỡng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835"/>
            <w:shd w:val="clear" w:color="auto" w:fill="EAD7DB"/>
          </w:tcPr>
          <w:p>
            <w:r/>
            <w:r>
              <w:rPr>
                <w:b/>
                <w:sz w:val="20"/>
              </w:rPr>
              <w:t>Chỉ tiêu (z-score TB)</w:t>
            </w:r>
          </w:p>
        </w:tc>
        <w:tc>
          <w:tcPr>
            <w:tcW w:type="dxa" w:w="1417"/>
            <w:shd w:val="clear" w:color="auto" w:fill="EAD7DB"/>
          </w:tcPr>
          <w:p>
            <w:r/>
            <w:r>
              <w:rPr>
                <w:b/>
                <w:sz w:val="20"/>
              </w:rPr>
              <w:t>TP</w:t>
            </w:r>
          </w:p>
        </w:tc>
        <w:tc>
          <w:tcPr>
            <w:tcW w:type="dxa" w:w="1587"/>
            <w:shd w:val="clear" w:color="auto" w:fill="EAD7DB"/>
          </w:tcPr>
          <w:p>
            <w:r/>
            <w:r>
              <w:rPr>
                <w:b/>
                <w:sz w:val="20"/>
              </w:rPr>
              <w:t>FN (bỏ sót)</w:t>
            </w:r>
          </w:p>
        </w:tc>
        <w:tc>
          <w:tcPr>
            <w:tcW w:type="dxa" w:w="1587"/>
            <w:shd w:val="clear" w:color="auto" w:fill="EAD7DB"/>
          </w:tcPr>
          <w:p>
            <w:r/>
            <w:r>
              <w:rPr>
                <w:b/>
                <w:sz w:val="20"/>
              </w:rPr>
              <w:t>FP (báo nhầm)</w:t>
            </w:r>
          </w:p>
        </w:tc>
        <w:tc>
          <w:tcPr>
            <w:tcW w:type="dxa" w:w="1417"/>
            <w:shd w:val="clear" w:color="auto" w:fill="EAD7DB"/>
          </w:tcPr>
          <w:p>
            <w:r/>
            <w:r>
              <w:rPr>
                <w:b/>
                <w:sz w:val="20"/>
              </w:rPr>
              <w:t>TN</w:t>
            </w:r>
          </w:p>
        </w:tc>
      </w:tr>
      <w:tr>
        <w:tc>
          <w:tcPr>
            <w:tcW w:type="dxa" w:w="2835"/>
          </w:tcPr>
          <w:p>
            <w:pPr>
              <w:spacing w:after="0"/>
            </w:pPr>
            <w:r/>
            <w:r>
              <w:rPr>
                <w:sz w:val="20"/>
              </w:rPr>
              <w:t>alcohol</w:t>
            </w:r>
          </w:p>
        </w:tc>
        <w:tc>
          <w:tcPr>
            <w:tcW w:type="dxa" w:w="1417"/>
          </w:tcPr>
          <w:p>
            <w:pPr>
              <w:spacing w:after="0"/>
            </w:pPr>
            <w:r/>
            <w:r>
              <w:rPr>
                <w:sz w:val="20"/>
              </w:rPr>
              <w:t>+1,11</w:t>
            </w:r>
          </w:p>
        </w:tc>
        <w:tc>
          <w:tcPr>
            <w:tcW w:type="dxa" w:w="1587"/>
          </w:tcPr>
          <w:p>
            <w:pPr>
              <w:spacing w:after="0"/>
            </w:pPr>
            <w:r/>
            <w:r>
              <w:rPr>
                <w:sz w:val="20"/>
              </w:rPr>
              <w:t>−0,22</w:t>
            </w:r>
          </w:p>
        </w:tc>
        <w:tc>
          <w:tcPr>
            <w:tcW w:type="dxa" w:w="1587"/>
          </w:tcPr>
          <w:p>
            <w:pPr>
              <w:spacing w:after="0"/>
            </w:pPr>
            <w:r/>
            <w:r>
              <w:rPr>
                <w:sz w:val="20"/>
              </w:rPr>
              <w:t>+0,76</w:t>
            </w:r>
          </w:p>
        </w:tc>
        <w:tc>
          <w:tcPr>
            <w:tcW w:type="dxa" w:w="1417"/>
          </w:tcPr>
          <w:p>
            <w:pPr>
              <w:spacing w:after="0"/>
            </w:pPr>
            <w:r/>
            <w:r>
              <w:rPr>
                <w:sz w:val="20"/>
              </w:rPr>
              <w:t>−0,56</w:t>
            </w:r>
          </w:p>
        </w:tc>
      </w:tr>
      <w:tr>
        <w:tc>
          <w:tcPr>
            <w:tcW w:type="dxa" w:w="2835"/>
          </w:tcPr>
          <w:p>
            <w:pPr>
              <w:spacing w:after="0"/>
            </w:pPr>
            <w:r/>
            <w:r>
              <w:rPr>
                <w:sz w:val="20"/>
              </w:rPr>
              <w:t>density</w:t>
            </w:r>
          </w:p>
        </w:tc>
        <w:tc>
          <w:tcPr>
            <w:tcW w:type="dxa" w:w="1417"/>
          </w:tcPr>
          <w:p>
            <w:pPr>
              <w:spacing w:after="0"/>
            </w:pPr>
            <w:r/>
            <w:r>
              <w:rPr>
                <w:sz w:val="20"/>
              </w:rPr>
              <w:t>−0,82</w:t>
            </w:r>
          </w:p>
        </w:tc>
        <w:tc>
          <w:tcPr>
            <w:tcW w:type="dxa" w:w="1587"/>
          </w:tcPr>
          <w:p>
            <w:pPr>
              <w:spacing w:after="0"/>
            </w:pPr>
            <w:r/>
            <w:r>
              <w:rPr>
                <w:sz w:val="20"/>
              </w:rPr>
              <w:t>+0,31</w:t>
            </w:r>
          </w:p>
        </w:tc>
        <w:tc>
          <w:tcPr>
            <w:tcW w:type="dxa" w:w="1587"/>
          </w:tcPr>
          <w:p>
            <w:pPr>
              <w:spacing w:after="0"/>
            </w:pPr>
            <w:r/>
            <w:r>
              <w:rPr>
                <w:sz w:val="20"/>
              </w:rPr>
              <w:t>−0,65</w:t>
            </w:r>
          </w:p>
        </w:tc>
        <w:tc>
          <w:tcPr>
            <w:tcW w:type="dxa" w:w="1417"/>
          </w:tcPr>
          <w:p>
            <w:pPr>
              <w:spacing w:after="0"/>
            </w:pPr>
            <w:r/>
            <w:r>
              <w:rPr>
                <w:sz w:val="20"/>
              </w:rPr>
              <w:t>+0,43</w:t>
            </w:r>
          </w:p>
        </w:tc>
      </w:tr>
      <w:tr>
        <w:tc>
          <w:tcPr>
            <w:tcW w:type="dxa" w:w="2835"/>
          </w:tcPr>
          <w:p>
            <w:pPr>
              <w:spacing w:after="0"/>
            </w:pPr>
            <w:r/>
            <w:r>
              <w:rPr>
                <w:sz w:val="20"/>
              </w:rPr>
              <w:t>volatile acidity</w:t>
            </w:r>
          </w:p>
        </w:tc>
        <w:tc>
          <w:tcPr>
            <w:tcW w:type="dxa" w:w="1417"/>
          </w:tcPr>
          <w:p>
            <w:pPr>
              <w:spacing w:after="0"/>
            </w:pPr>
            <w:r/>
            <w:r>
              <w:rPr>
                <w:sz w:val="20"/>
              </w:rPr>
              <w:t>−0,32</w:t>
            </w:r>
          </w:p>
        </w:tc>
        <w:tc>
          <w:tcPr>
            <w:tcW w:type="dxa" w:w="1587"/>
          </w:tcPr>
          <w:p>
            <w:pPr>
              <w:spacing w:after="0"/>
            </w:pPr>
            <w:r/>
            <w:r>
              <w:rPr>
                <w:sz w:val="20"/>
              </w:rPr>
              <w:t>−0,20</w:t>
            </w:r>
          </w:p>
        </w:tc>
        <w:tc>
          <w:tcPr>
            <w:tcW w:type="dxa" w:w="1587"/>
          </w:tcPr>
          <w:p>
            <w:pPr>
              <w:spacing w:after="0"/>
            </w:pPr>
            <w:r/>
            <w:r>
              <w:rPr>
                <w:sz w:val="20"/>
              </w:rPr>
              <w:t>−0,42</w:t>
            </w:r>
          </w:p>
        </w:tc>
        <w:tc>
          <w:tcPr>
            <w:tcW w:type="dxa" w:w="1417"/>
          </w:tcPr>
          <w:p>
            <w:pPr>
              <w:spacing w:after="0"/>
            </w:pPr>
            <w:r/>
            <w:r>
              <w:rPr>
                <w:sz w:val="20"/>
              </w:rPr>
              <w:t>+0,25</w:t>
            </w:r>
          </w:p>
        </w:tc>
      </w:tr>
      <w:tr>
        <w:tc>
          <w:tcPr>
            <w:tcW w:type="dxa" w:w="2835"/>
          </w:tcPr>
          <w:p>
            <w:pPr>
              <w:spacing w:after="0"/>
            </w:pPr>
            <w:r/>
            <w:r>
              <w:rPr>
                <w:sz w:val="20"/>
              </w:rPr>
              <w:t>chlorides</w:t>
            </w:r>
          </w:p>
        </w:tc>
        <w:tc>
          <w:tcPr>
            <w:tcW w:type="dxa" w:w="1417"/>
          </w:tcPr>
          <w:p>
            <w:pPr>
              <w:spacing w:after="0"/>
            </w:pPr>
            <w:r/>
            <w:r>
              <w:rPr>
                <w:sz w:val="20"/>
              </w:rPr>
              <w:t>−0,41</w:t>
            </w:r>
          </w:p>
        </w:tc>
        <w:tc>
          <w:tcPr>
            <w:tcW w:type="dxa" w:w="1587"/>
          </w:tcPr>
          <w:p>
            <w:pPr>
              <w:spacing w:after="0"/>
            </w:pPr>
            <w:r/>
            <w:r>
              <w:rPr>
                <w:sz w:val="20"/>
              </w:rPr>
              <w:t>+0,01</w:t>
            </w:r>
          </w:p>
        </w:tc>
        <w:tc>
          <w:tcPr>
            <w:tcW w:type="dxa" w:w="1587"/>
          </w:tcPr>
          <w:p>
            <w:pPr>
              <w:spacing w:after="0"/>
            </w:pPr>
            <w:r/>
            <w:r>
              <w:rPr>
                <w:sz w:val="20"/>
              </w:rPr>
              <w:t>−0,34</w:t>
            </w:r>
          </w:p>
        </w:tc>
        <w:tc>
          <w:tcPr>
            <w:tcW w:type="dxa" w:w="1417"/>
          </w:tcPr>
          <w:p>
            <w:pPr>
              <w:spacing w:after="0"/>
            </w:pPr>
            <w:r/>
            <w:r>
              <w:rPr>
                <w:sz w:val="20"/>
              </w:rPr>
              <w:t>+0,23</w:t>
            </w:r>
          </w:p>
        </w:tc>
      </w:tr>
      <w:tr>
        <w:tc>
          <w:tcPr>
            <w:tcW w:type="dxa" w:w="2835"/>
          </w:tcPr>
          <w:p>
            <w:pPr>
              <w:spacing w:after="0"/>
            </w:pPr>
            <w:r/>
            <w:r>
              <w:rPr>
                <w:sz w:val="20"/>
              </w:rPr>
              <w:t>residual sugar</w:t>
            </w:r>
          </w:p>
        </w:tc>
        <w:tc>
          <w:tcPr>
            <w:tcW w:type="dxa" w:w="1417"/>
          </w:tcPr>
          <w:p>
            <w:pPr>
              <w:spacing w:after="0"/>
            </w:pPr>
            <w:r/>
            <w:r>
              <w:rPr>
                <w:sz w:val="20"/>
              </w:rPr>
              <w:t>−0,28</w:t>
            </w:r>
          </w:p>
        </w:tc>
        <w:tc>
          <w:tcPr>
            <w:tcW w:type="dxa" w:w="1587"/>
          </w:tcPr>
          <w:p>
            <w:pPr>
              <w:spacing w:after="0"/>
            </w:pPr>
            <w:r/>
            <w:r>
              <w:rPr>
                <w:sz w:val="20"/>
              </w:rPr>
              <w:t>+0,28</w:t>
            </w:r>
          </w:p>
        </w:tc>
        <w:tc>
          <w:tcPr>
            <w:tcW w:type="dxa" w:w="1587"/>
          </w:tcPr>
          <w:p>
            <w:pPr>
              <w:spacing w:after="0"/>
            </w:pPr>
            <w:r/>
            <w:r>
              <w:rPr>
                <w:sz w:val="20"/>
              </w:rPr>
              <w:t>−0,30</w:t>
            </w:r>
          </w:p>
        </w:tc>
        <w:tc>
          <w:tcPr>
            <w:tcW w:type="dxa" w:w="1417"/>
          </w:tcPr>
          <w:p>
            <w:pPr>
              <w:spacing w:after="0"/>
            </w:pPr>
            <w:r/>
            <w:r>
              <w:rPr>
                <w:sz w:val="20"/>
              </w:rPr>
              <w:t>+0,17</w:t>
            </w:r>
          </w:p>
        </w:tc>
      </w:tr>
    </w:tbl>
    <w:p>
      <w:pPr>
        <w:jc w:val="center"/>
      </w:pPr>
      <w:r>
        <w:rPr>
          <w:b w:val="0"/>
          <w:i/>
          <w:sz w:val="22"/>
        </w:rPr>
        <w:t>Bảng 3. Giá trị chuẩn hóa trung bình theo nhóm kết quả (SVM).</w:t>
      </w:r>
    </w:p>
    <w:p>
      <w:r>
        <w:rPr>
          <w:b w:val="0"/>
          <w:i w:val="0"/>
        </w:rPr>
        <w:t>Rượu ngon bị bỏ sót có độ cồn dưới trung bình (z = −0,22) và tỉ trọng cao (z = +0,31) – trái ngược với rượu ngon được nhận đúng (alcohol z = +1,11). Ngược lại, rượu thường bị báo nhầm có độ cồn cao (z = +0,76). Mô hình dựa quá nhiều vào độ cồn; những yếu tố khác làm nên chất lượng (giống nho, hương vị, cân bằng) không có trong dữ liệu.</w:t>
      </w:r>
    </w:p>
    <w:p>
      <w:pPr>
        <w:jc w:val="center"/>
      </w:pPr>
      <w:r>
        <w:drawing>
          <wp:inline xmlns:a="http://schemas.openxmlformats.org/drawingml/2006/main" xmlns:pic="http://schemas.openxmlformats.org/drawingml/2006/picture">
            <wp:extent cx="3960000" cy="2558769"/>
            <wp:docPr id="8" name="Picture 8"/>
            <wp:cNvGraphicFramePr>
              <a:graphicFrameLocks noChangeAspect="1"/>
            </wp:cNvGraphicFramePr>
            <a:graphic>
              <a:graphicData uri="http://schemas.openxmlformats.org/drawingml/2006/picture">
                <pic:pic>
                  <pic:nvPicPr>
                    <pic:cNvPr id="0" name="threshold.png"/>
                    <pic:cNvPicPr/>
                  </pic:nvPicPr>
                  <pic:blipFill>
                    <a:blip r:embed="rId16"/>
                    <a:stretch>
                      <a:fillRect/>
                    </a:stretch>
                  </pic:blipFill>
                  <pic:spPr>
                    <a:xfrm>
                      <a:off x="0" y="0"/>
                      <a:ext cx="3960000" cy="2558769"/>
                    </a:xfrm>
                    <a:prstGeom prst="rect"/>
                  </pic:spPr>
                </pic:pic>
              </a:graphicData>
            </a:graphic>
          </wp:inline>
        </w:drawing>
      </w:r>
    </w:p>
    <w:p>
      <w:pPr>
        <w:jc w:val="center"/>
      </w:pPr>
      <w:r>
        <w:rPr>
          <w:b w:val="0"/>
          <w:i/>
          <w:sz w:val="22"/>
        </w:rPr>
        <w:t>Hình 8. F1, precision, recall theo ngưỡng (SVM, xác suất Platt).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685"/>
            <w:shd w:val="clear" w:color="auto" w:fill="EAD7DB"/>
          </w:tcPr>
          <w:p>
            <w:r/>
            <w:r>
              <w:rPr>
                <w:b/>
                <w:sz w:val="20"/>
              </w:rPr>
              <w:t>Mô hình</w:t>
            </w:r>
          </w:p>
        </w:tc>
        <w:tc>
          <w:tcPr>
            <w:tcW w:type="dxa" w:w="1247"/>
            <w:shd w:val="clear" w:color="auto" w:fill="EAD7DB"/>
          </w:tcPr>
          <w:p>
            <w:r/>
            <w:r>
              <w:rPr>
                <w:b/>
                <w:sz w:val="20"/>
              </w:rPr>
              <w:t>F1 @ 0,5</w:t>
            </w:r>
          </w:p>
        </w:tc>
        <w:tc>
          <w:tcPr>
            <w:tcW w:type="dxa" w:w="1701"/>
            <w:shd w:val="clear" w:color="auto" w:fill="EAD7DB"/>
          </w:tcPr>
          <w:p>
            <w:r/>
            <w:r>
              <w:rPr>
                <w:b/>
                <w:sz w:val="20"/>
              </w:rPr>
              <w:t>F1 sau chỉnh ngưỡng</w:t>
            </w:r>
          </w:p>
        </w:tc>
        <w:tc>
          <w:tcPr>
            <w:tcW w:type="dxa" w:w="1134"/>
            <w:shd w:val="clear" w:color="auto" w:fill="EAD7DB"/>
          </w:tcPr>
          <w:p>
            <w:r/>
            <w:r>
              <w:rPr>
                <w:b/>
                <w:sz w:val="20"/>
              </w:rPr>
              <w:t>Ngưỡng</w:t>
            </w:r>
          </w:p>
        </w:tc>
        <w:tc>
          <w:tcPr>
            <w:tcW w:type="dxa" w:w="1134"/>
            <w:shd w:val="clear" w:color="auto" w:fill="EAD7DB"/>
          </w:tcPr>
          <w:p>
            <w:r/>
            <w:r>
              <w:rPr>
                <w:b/>
                <w:sz w:val="20"/>
              </w:rPr>
              <w:t>AUC</w:t>
            </w:r>
          </w:p>
        </w:tc>
      </w:tr>
      <w:tr>
        <w:tc>
          <w:tcPr>
            <w:tcW w:type="dxa" w:w="3685"/>
          </w:tcPr>
          <w:p>
            <w:pPr>
              <w:spacing w:after="0"/>
            </w:pPr>
            <w:r/>
            <w:r>
              <w:rPr>
                <w:sz w:val="20"/>
              </w:rPr>
              <w:t>Random Forest (cân bằng lớp)</w:t>
            </w:r>
          </w:p>
        </w:tc>
        <w:tc>
          <w:tcPr>
            <w:tcW w:type="dxa" w:w="1247"/>
          </w:tcPr>
          <w:p>
            <w:pPr>
              <w:spacing w:after="0"/>
            </w:pPr>
            <w:r/>
            <w:r>
              <w:rPr>
                <w:sz w:val="20"/>
              </w:rPr>
              <w:t>0,443</w:t>
            </w:r>
          </w:p>
        </w:tc>
        <w:tc>
          <w:tcPr>
            <w:tcW w:type="dxa" w:w="1701"/>
          </w:tcPr>
          <w:p>
            <w:pPr>
              <w:spacing w:after="0"/>
            </w:pPr>
            <w:r/>
            <w:r>
              <w:rPr>
                <w:sz w:val="20"/>
              </w:rPr>
              <w:t>0,582</w:t>
            </w:r>
          </w:p>
        </w:tc>
        <w:tc>
          <w:tcPr>
            <w:tcW w:type="dxa" w:w="1134"/>
          </w:tcPr>
          <w:p>
            <w:pPr>
              <w:spacing w:after="0"/>
            </w:pPr>
            <w:r/>
            <w:r>
              <w:rPr>
                <w:sz w:val="20"/>
              </w:rPr>
              <w:t>0,28</w:t>
            </w:r>
          </w:p>
        </w:tc>
        <w:tc>
          <w:tcPr>
            <w:tcW w:type="dxa" w:w="1134"/>
          </w:tcPr>
          <w:p>
            <w:pPr>
              <w:spacing w:after="0"/>
            </w:pPr>
            <w:r/>
            <w:r>
              <w:rPr>
                <w:sz w:val="20"/>
              </w:rPr>
              <w:t>0,860</w:t>
            </w:r>
          </w:p>
        </w:tc>
      </w:tr>
      <w:tr>
        <w:tc>
          <w:tcPr>
            <w:tcW w:type="dxa" w:w="3685"/>
          </w:tcPr>
          <w:p>
            <w:pPr>
              <w:spacing w:after="0"/>
            </w:pPr>
            <w:r/>
            <w:r>
              <w:rPr>
                <w:sz w:val="20"/>
              </w:rPr>
              <w:t>SVM RBF (cân bằng lớp, tuned)</w:t>
            </w:r>
          </w:p>
        </w:tc>
        <w:tc>
          <w:tcPr>
            <w:tcW w:type="dxa" w:w="1247"/>
          </w:tcPr>
          <w:p>
            <w:pPr>
              <w:spacing w:after="0"/>
            </w:pPr>
            <w:r/>
            <w:r>
              <w:rPr>
                <w:sz w:val="20"/>
              </w:rPr>
              <w:t>0,457</w:t>
            </w:r>
          </w:p>
        </w:tc>
        <w:tc>
          <w:tcPr>
            <w:tcW w:type="dxa" w:w="1701"/>
          </w:tcPr>
          <w:p>
            <w:pPr>
              <w:spacing w:after="0"/>
            </w:pPr>
            <w:r/>
            <w:r>
              <w:rPr>
                <w:sz w:val="20"/>
              </w:rPr>
              <w:t>0,568</w:t>
            </w:r>
          </w:p>
        </w:tc>
        <w:tc>
          <w:tcPr>
            <w:tcW w:type="dxa" w:w="1134"/>
          </w:tcPr>
          <w:p>
            <w:pPr>
              <w:spacing w:after="0"/>
            </w:pPr>
            <w:r/>
            <w:r>
              <w:rPr>
                <w:sz w:val="20"/>
              </w:rPr>
              <w:t>0,28</w:t>
            </w:r>
          </w:p>
        </w:tc>
        <w:tc>
          <w:tcPr>
            <w:tcW w:type="dxa" w:w="1134"/>
          </w:tcPr>
          <w:p>
            <w:pPr>
              <w:spacing w:after="0"/>
            </w:pPr>
            <w:r/>
            <w:r>
              <w:rPr>
                <w:sz w:val="20"/>
              </w:rPr>
              <w:t>0,848</w:t>
            </w:r>
          </w:p>
        </w:tc>
      </w:tr>
      <w:tr>
        <w:tc>
          <w:tcPr>
            <w:tcW w:type="dxa" w:w="3685"/>
          </w:tcPr>
          <w:p>
            <w:pPr>
              <w:spacing w:after="0"/>
            </w:pPr>
            <w:r/>
            <w:r>
              <w:rPr>
                <w:sz w:val="20"/>
              </w:rPr>
              <w:t>Gradient Boosting (HistGB)</w:t>
            </w:r>
          </w:p>
        </w:tc>
        <w:tc>
          <w:tcPr>
            <w:tcW w:type="dxa" w:w="1247"/>
          </w:tcPr>
          <w:p>
            <w:pPr>
              <w:spacing w:after="0"/>
            </w:pPr>
            <w:r/>
            <w:r>
              <w:rPr>
                <w:sz w:val="20"/>
              </w:rPr>
              <w:t>0,490</w:t>
            </w:r>
          </w:p>
        </w:tc>
        <w:tc>
          <w:tcPr>
            <w:tcW w:type="dxa" w:w="1701"/>
          </w:tcPr>
          <w:p>
            <w:pPr>
              <w:spacing w:after="0"/>
            </w:pPr>
            <w:r/>
            <w:r>
              <w:rPr>
                <w:sz w:val="20"/>
              </w:rPr>
              <w:t>0,559</w:t>
            </w:r>
          </w:p>
        </w:tc>
        <w:tc>
          <w:tcPr>
            <w:tcW w:type="dxa" w:w="1134"/>
          </w:tcPr>
          <w:p>
            <w:pPr>
              <w:spacing w:after="0"/>
            </w:pPr>
            <w:r/>
            <w:r>
              <w:rPr>
                <w:sz w:val="20"/>
              </w:rPr>
              <w:t>0,12</w:t>
            </w:r>
          </w:p>
        </w:tc>
        <w:tc>
          <w:tcPr>
            <w:tcW w:type="dxa" w:w="1134"/>
          </w:tcPr>
          <w:p>
            <w:pPr>
              <w:spacing w:after="0"/>
            </w:pPr>
            <w:r/>
            <w:r>
              <w:rPr>
                <w:sz w:val="20"/>
              </w:rPr>
              <w:t>0,850</w:t>
            </w:r>
          </w:p>
        </w:tc>
      </w:tr>
      <w:tr>
        <w:tc>
          <w:tcPr>
            <w:tcW w:type="dxa" w:w="3685"/>
          </w:tcPr>
          <w:p>
            <w:pPr>
              <w:spacing w:after="0"/>
            </w:pPr>
            <w:r/>
            <w:r>
              <w:rPr>
                <w:sz w:val="20"/>
              </w:rPr>
              <w:t>Hồi quy logistic (cân bằng lớp, tuned)</w:t>
            </w:r>
          </w:p>
        </w:tc>
        <w:tc>
          <w:tcPr>
            <w:tcW w:type="dxa" w:w="1247"/>
          </w:tcPr>
          <w:p>
            <w:pPr>
              <w:spacing w:after="0"/>
            </w:pPr>
            <w:r/>
            <w:r>
              <w:rPr>
                <w:sz w:val="20"/>
              </w:rPr>
              <w:t>0,535</w:t>
            </w:r>
          </w:p>
        </w:tc>
        <w:tc>
          <w:tcPr>
            <w:tcW w:type="dxa" w:w="1701"/>
          </w:tcPr>
          <w:p>
            <w:pPr>
              <w:spacing w:after="0"/>
            </w:pPr>
            <w:r/>
            <w:r>
              <w:rPr>
                <w:sz w:val="20"/>
              </w:rPr>
              <w:t>0,542</w:t>
            </w:r>
          </w:p>
        </w:tc>
        <w:tc>
          <w:tcPr>
            <w:tcW w:type="dxa" w:w="1134"/>
          </w:tcPr>
          <w:p>
            <w:pPr>
              <w:spacing w:after="0"/>
            </w:pPr>
            <w:r/>
            <w:r>
              <w:rPr>
                <w:sz w:val="20"/>
              </w:rPr>
              <w:t>0,61</w:t>
            </w:r>
          </w:p>
        </w:tc>
        <w:tc>
          <w:tcPr>
            <w:tcW w:type="dxa" w:w="1134"/>
          </w:tcPr>
          <w:p>
            <w:pPr>
              <w:spacing w:after="0"/>
            </w:pPr>
            <w:r/>
            <w:r>
              <w:rPr>
                <w:sz w:val="20"/>
              </w:rPr>
              <w:t>0,828</w:t>
            </w:r>
          </w:p>
        </w:tc>
      </w:tr>
      <w:tr>
        <w:tc>
          <w:tcPr>
            <w:tcW w:type="dxa" w:w="3685"/>
          </w:tcPr>
          <w:p>
            <w:pPr>
              <w:spacing w:after="0"/>
            </w:pPr>
            <w:r/>
            <w:r>
              <w:rPr>
                <w:sz w:val="20"/>
              </w:rPr>
              <w:t>k-NN + chuẩn hóa</w:t>
            </w:r>
          </w:p>
        </w:tc>
        <w:tc>
          <w:tcPr>
            <w:tcW w:type="dxa" w:w="1247"/>
          </w:tcPr>
          <w:p>
            <w:pPr>
              <w:spacing w:after="0"/>
            </w:pPr>
            <w:r/>
            <w:r>
              <w:rPr>
                <w:sz w:val="20"/>
              </w:rPr>
              <w:t>0,445</w:t>
            </w:r>
          </w:p>
        </w:tc>
        <w:tc>
          <w:tcPr>
            <w:tcW w:type="dxa" w:w="1701"/>
          </w:tcPr>
          <w:p>
            <w:pPr>
              <w:spacing w:after="0"/>
            </w:pPr>
            <w:r/>
            <w:r>
              <w:rPr>
                <w:sz w:val="20"/>
              </w:rPr>
              <w:t>0,531</w:t>
            </w:r>
          </w:p>
        </w:tc>
        <w:tc>
          <w:tcPr>
            <w:tcW w:type="dxa" w:w="1134"/>
          </w:tcPr>
          <w:p>
            <w:pPr>
              <w:spacing w:after="0"/>
            </w:pPr>
            <w:r/>
            <w:r>
              <w:rPr>
                <w:sz w:val="20"/>
              </w:rPr>
              <w:t>0,27</w:t>
            </w:r>
          </w:p>
        </w:tc>
        <w:tc>
          <w:tcPr>
            <w:tcW w:type="dxa" w:w="1134"/>
          </w:tcPr>
          <w:p>
            <w:pPr>
              <w:spacing w:after="0"/>
            </w:pPr>
            <w:r/>
            <w:r>
              <w:rPr>
                <w:sz w:val="20"/>
              </w:rPr>
              <w:t>0,826</w:t>
            </w:r>
          </w:p>
        </w:tc>
      </w:tr>
      <w:tr>
        <w:tc>
          <w:tcPr>
            <w:tcW w:type="dxa" w:w="3685"/>
          </w:tcPr>
          <w:p>
            <w:pPr>
              <w:spacing w:after="0"/>
            </w:pPr>
            <w:r/>
            <w:r>
              <w:rPr>
                <w:sz w:val="20"/>
              </w:rPr>
              <w:t>Cơ sở: k-NN (k=5, không chuẩn hóa)</w:t>
            </w:r>
          </w:p>
        </w:tc>
        <w:tc>
          <w:tcPr>
            <w:tcW w:type="dxa" w:w="1247"/>
          </w:tcPr>
          <w:p>
            <w:pPr>
              <w:spacing w:after="0"/>
            </w:pPr>
            <w:r/>
            <w:r>
              <w:rPr>
                <w:sz w:val="20"/>
              </w:rPr>
              <w:t>0,276</w:t>
            </w:r>
          </w:p>
        </w:tc>
        <w:tc>
          <w:tcPr>
            <w:tcW w:type="dxa" w:w="1701"/>
          </w:tcPr>
          <w:p>
            <w:pPr>
              <w:spacing w:after="0"/>
            </w:pPr>
            <w:r/>
            <w:r>
              <w:rPr>
                <w:sz w:val="20"/>
              </w:rPr>
              <w:t>0,403</w:t>
            </w:r>
          </w:p>
        </w:tc>
        <w:tc>
          <w:tcPr>
            <w:tcW w:type="dxa" w:w="1134"/>
          </w:tcPr>
          <w:p>
            <w:pPr>
              <w:spacing w:after="0"/>
            </w:pPr>
            <w:r/>
            <w:r>
              <w:rPr>
                <w:sz w:val="20"/>
              </w:rPr>
              <w:t>0,05</w:t>
            </w:r>
          </w:p>
        </w:tc>
        <w:tc>
          <w:tcPr>
            <w:tcW w:type="dxa" w:w="1134"/>
          </w:tcPr>
          <w:p>
            <w:pPr>
              <w:spacing w:after="0"/>
            </w:pPr>
            <w:r/>
            <w:r>
              <w:rPr>
                <w:sz w:val="20"/>
              </w:rPr>
              <w:t>0,685</w:t>
            </w:r>
          </w:p>
        </w:tc>
      </w:tr>
    </w:tbl>
    <w:p>
      <w:pPr>
        <w:jc w:val="center"/>
      </w:pPr>
      <w:r>
        <w:rPr>
          <w:b w:val="0"/>
          <w:i/>
          <w:sz w:val="22"/>
        </w:rPr>
        <w:t>Bảng 4. F1 trước và sau khi chọn ngưỡng tối ưu (dự đoán ngoài-fold). Ngưỡng chọn trên chính dữ liệu đánh giá nên số liệu lạc quan.</w:t>
      </w:r>
    </w:p>
    <w:p>
      <w:r>
        <w:rPr>
          <w:b w:val="0"/>
          <w:i w:val="0"/>
        </w:rPr>
        <w:t>Khi mọi mô hình được chỉnh ngưỡng, Random Forest đạt F1 cao nhất và khoảng cách giữa các mô hình mạnh chỉ còn 0,01–0,04. Bài học: với dữ liệu mất cân bằng, chọn ngưỡng (hoặc trọng số lớp) quan trọng ngang chọn thuật toán; so sánh mô hình nên dựa trên AUC/AP hoặc sau khi chỉnh ngưỡng trên tập kiểm định riêng.</w:t>
      </w:r>
    </w:p>
    <w:p>
      <w:pPr>
        <w:pStyle w:val="Heading2"/>
      </w:pPr>
      <w:r>
        <w:t>5.4 Bản ghi trùng làm thổi phồng kết quả</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EAD7DB"/>
          </w:tcPr>
          <w:p>
            <w:r/>
            <w:r>
              <w:rPr>
                <w:b/>
                <w:sz w:val="20"/>
              </w:rPr>
              <w:t>Dữ liệu</w:t>
            </w:r>
          </w:p>
        </w:tc>
        <w:tc>
          <w:tcPr>
            <w:tcW w:type="dxa" w:w="3402"/>
            <w:shd w:val="clear" w:color="auto" w:fill="EAD7DB"/>
          </w:tcPr>
          <w:p>
            <w:r/>
            <w:r>
              <w:rPr>
                <w:b/>
                <w:sz w:val="20"/>
              </w:rPr>
              <w:t>Mô hình</w:t>
            </w:r>
          </w:p>
        </w:tc>
        <w:tc>
          <w:tcPr>
            <w:tcW w:type="dxa" w:w="1134"/>
            <w:shd w:val="clear" w:color="auto" w:fill="EAD7DB"/>
          </w:tcPr>
          <w:p>
            <w:r/>
            <w:r>
              <w:rPr>
                <w:b/>
                <w:sz w:val="20"/>
              </w:rPr>
              <w:t>F1</w:t>
            </w:r>
          </w:p>
        </w:tc>
        <w:tc>
          <w:tcPr>
            <w:tcW w:type="dxa" w:w="1134"/>
            <w:shd w:val="clear" w:color="auto" w:fill="EAD7DB"/>
          </w:tcPr>
          <w:p>
            <w:r/>
            <w:r>
              <w:rPr>
                <w:b/>
                <w:sz w:val="20"/>
              </w:rPr>
              <w:t>AUC</w:t>
            </w:r>
          </w:p>
        </w:tc>
        <w:tc>
          <w:tcPr>
            <w:tcW w:type="dxa" w:w="1134"/>
            <w:shd w:val="clear" w:color="auto" w:fill="EAD7DB"/>
          </w:tcPr>
          <w:p>
            <w:r/>
            <w:r>
              <w:rPr>
                <w:b/>
                <w:sz w:val="20"/>
              </w:rPr>
              <w:t>Recall</w:t>
            </w:r>
          </w:p>
        </w:tc>
      </w:tr>
      <w:tr>
        <w:tc>
          <w:tcPr>
            <w:tcW w:type="dxa" w:w="2268"/>
          </w:tcPr>
          <w:p>
            <w:pPr>
              <w:spacing w:after="0"/>
            </w:pPr>
            <w:r/>
            <w:r>
              <w:rPr>
                <w:sz w:val="20"/>
              </w:rPr>
              <w:t>Có trùng (6497)</w:t>
            </w:r>
          </w:p>
        </w:tc>
        <w:tc>
          <w:tcPr>
            <w:tcW w:type="dxa" w:w="3402"/>
          </w:tcPr>
          <w:p>
            <w:pPr>
              <w:spacing w:after="0"/>
            </w:pPr>
            <w:r/>
            <w:r>
              <w:rPr>
                <w:sz w:val="20"/>
              </w:rPr>
              <w:t>Cơ sở: k-NN thô</w:t>
            </w:r>
          </w:p>
        </w:tc>
        <w:tc>
          <w:tcPr>
            <w:tcW w:type="dxa" w:w="1134"/>
          </w:tcPr>
          <w:p>
            <w:pPr>
              <w:spacing w:after="0"/>
            </w:pPr>
            <w:r/>
            <w:r>
              <w:rPr>
                <w:sz w:val="20"/>
              </w:rPr>
              <w:t>0,408</w:t>
            </w:r>
          </w:p>
        </w:tc>
        <w:tc>
          <w:tcPr>
            <w:tcW w:type="dxa" w:w="1134"/>
          </w:tcPr>
          <w:p>
            <w:pPr>
              <w:spacing w:after="0"/>
            </w:pPr>
            <w:r/>
            <w:r>
              <w:rPr>
                <w:sz w:val="20"/>
              </w:rPr>
              <w:t>0,758</w:t>
            </w:r>
          </w:p>
        </w:tc>
        <w:tc>
          <w:tcPr>
            <w:tcW w:type="dxa" w:w="1134"/>
          </w:tcPr>
          <w:p>
            <w:pPr>
              <w:spacing w:after="0"/>
            </w:pPr>
            <w:r/>
            <w:r>
              <w:rPr>
                <w:sz w:val="20"/>
              </w:rPr>
              <w:t>0,344</w:t>
            </w:r>
          </w:p>
        </w:tc>
      </w:tr>
      <w:tr>
        <w:tc>
          <w:tcPr>
            <w:tcW w:type="dxa" w:w="2268"/>
          </w:tcPr>
          <w:p>
            <w:pPr>
              <w:spacing w:after="0"/>
            </w:pPr>
            <w:r/>
            <w:r>
              <w:rPr>
                <w:sz w:val="20"/>
              </w:rPr>
              <w:t>Có trùng (6497)</w:t>
            </w:r>
          </w:p>
        </w:tc>
        <w:tc>
          <w:tcPr>
            <w:tcW w:type="dxa" w:w="3402"/>
          </w:tcPr>
          <w:p>
            <w:pPr>
              <w:spacing w:after="0"/>
            </w:pPr>
            <w:r/>
            <w:r>
              <w:rPr>
                <w:sz w:val="20"/>
              </w:rPr>
              <w:t>SVM RBF (C=10, cân bằng lớp)</w:t>
            </w:r>
          </w:p>
        </w:tc>
        <w:tc>
          <w:tcPr>
            <w:tcW w:type="dxa" w:w="1134"/>
          </w:tcPr>
          <w:p>
            <w:pPr>
              <w:spacing w:after="0"/>
            </w:pPr>
            <w:r/>
            <w:r>
              <w:rPr>
                <w:sz w:val="20"/>
              </w:rPr>
              <w:t>0,586</w:t>
            </w:r>
          </w:p>
        </w:tc>
        <w:tc>
          <w:tcPr>
            <w:tcW w:type="dxa" w:w="1134"/>
          </w:tcPr>
          <w:p>
            <w:pPr>
              <w:spacing w:after="0"/>
            </w:pPr>
            <w:r/>
            <w:r>
              <w:rPr>
                <w:sz w:val="20"/>
              </w:rPr>
              <w:t>0,865</w:t>
            </w:r>
          </w:p>
        </w:tc>
        <w:tc>
          <w:tcPr>
            <w:tcW w:type="dxa" w:w="1134"/>
          </w:tcPr>
          <w:p>
            <w:pPr>
              <w:spacing w:after="0"/>
            </w:pPr>
            <w:r/>
            <w:r>
              <w:rPr>
                <w:sz w:val="20"/>
              </w:rPr>
              <w:t>0,824</w:t>
            </w:r>
          </w:p>
        </w:tc>
      </w:tr>
      <w:tr>
        <w:tc>
          <w:tcPr>
            <w:tcW w:type="dxa" w:w="2268"/>
          </w:tcPr>
          <w:p>
            <w:pPr>
              <w:spacing w:after="0"/>
            </w:pPr>
            <w:r/>
            <w:r>
              <w:rPr>
                <w:sz w:val="20"/>
              </w:rPr>
              <w:t>Có trùng (6497)</w:t>
            </w:r>
          </w:p>
        </w:tc>
        <w:tc>
          <w:tcPr>
            <w:tcW w:type="dxa" w:w="3402"/>
          </w:tcPr>
          <w:p>
            <w:pPr>
              <w:spacing w:after="0"/>
            </w:pPr>
            <w:r/>
            <w:r>
              <w:rPr>
                <w:sz w:val="20"/>
              </w:rPr>
              <w:t>Random Forest (cân bằng lớp)</w:t>
            </w:r>
          </w:p>
        </w:tc>
        <w:tc>
          <w:tcPr>
            <w:tcW w:type="dxa" w:w="1134"/>
          </w:tcPr>
          <w:p>
            <w:pPr>
              <w:spacing w:after="0"/>
            </w:pPr>
            <w:r/>
            <w:r>
              <w:rPr>
                <w:sz w:val="20"/>
              </w:rPr>
              <w:t>0,665</w:t>
            </w:r>
          </w:p>
        </w:tc>
        <w:tc>
          <w:tcPr>
            <w:tcW w:type="dxa" w:w="1134"/>
          </w:tcPr>
          <w:p>
            <w:pPr>
              <w:spacing w:after="0"/>
            </w:pPr>
            <w:r/>
            <w:r>
              <w:rPr>
                <w:sz w:val="20"/>
              </w:rPr>
              <w:t>0,925</w:t>
            </w:r>
          </w:p>
        </w:tc>
        <w:tc>
          <w:tcPr>
            <w:tcW w:type="dxa" w:w="1134"/>
          </w:tcPr>
          <w:p>
            <w:pPr>
              <w:spacing w:after="0"/>
            </w:pPr>
            <w:r/>
            <w:r>
              <w:rPr>
                <w:sz w:val="20"/>
              </w:rPr>
              <w:t>0,560</w:t>
            </w:r>
          </w:p>
        </w:tc>
      </w:tr>
      <w:tr>
        <w:tc>
          <w:tcPr>
            <w:tcW w:type="dxa" w:w="2268"/>
          </w:tcPr>
          <w:p>
            <w:pPr>
              <w:spacing w:after="0"/>
            </w:pPr>
            <w:r/>
            <w:r>
              <w:rPr>
                <w:sz w:val="20"/>
              </w:rPr>
              <w:t>Có trùng (6497)</w:t>
            </w:r>
          </w:p>
        </w:tc>
        <w:tc>
          <w:tcPr>
            <w:tcW w:type="dxa" w:w="3402"/>
          </w:tcPr>
          <w:p>
            <w:pPr>
              <w:spacing w:after="0"/>
            </w:pPr>
            <w:r/>
            <w:r>
              <w:rPr>
                <w:sz w:val="20"/>
              </w:rPr>
              <w:t>Gradient Boosting (HistGB)</w:t>
            </w:r>
          </w:p>
        </w:tc>
        <w:tc>
          <w:tcPr>
            <w:tcW w:type="dxa" w:w="1134"/>
          </w:tcPr>
          <w:p>
            <w:pPr>
              <w:spacing w:after="0"/>
            </w:pPr>
            <w:r/>
            <w:r>
              <w:rPr>
                <w:sz w:val="20"/>
              </w:rPr>
              <w:t>0,676</w:t>
            </w:r>
          </w:p>
        </w:tc>
        <w:tc>
          <w:tcPr>
            <w:tcW w:type="dxa" w:w="1134"/>
          </w:tcPr>
          <w:p>
            <w:pPr>
              <w:spacing w:after="0"/>
            </w:pPr>
            <w:r/>
            <w:r>
              <w:rPr>
                <w:sz w:val="20"/>
              </w:rPr>
              <w:t>0,913</w:t>
            </w:r>
          </w:p>
        </w:tc>
        <w:tc>
          <w:tcPr>
            <w:tcW w:type="dxa" w:w="1134"/>
          </w:tcPr>
          <w:p>
            <w:pPr>
              <w:spacing w:after="0"/>
            </w:pPr>
            <w:r/>
            <w:r>
              <w:rPr>
                <w:sz w:val="20"/>
              </w:rPr>
              <w:t>0,607</w:t>
            </w:r>
          </w:p>
        </w:tc>
      </w:tr>
      <w:tr>
        <w:tc>
          <w:tcPr>
            <w:tcW w:type="dxa" w:w="2268"/>
          </w:tcPr>
          <w:p>
            <w:pPr>
              <w:spacing w:after="0"/>
            </w:pPr>
            <w:r/>
            <w:r>
              <w:rPr>
                <w:sz w:val="20"/>
              </w:rPr>
              <w:t>Đã loại trùng (5320)</w:t>
            </w:r>
          </w:p>
        </w:tc>
        <w:tc>
          <w:tcPr>
            <w:tcW w:type="dxa" w:w="3402"/>
          </w:tcPr>
          <w:p>
            <w:pPr>
              <w:spacing w:after="0"/>
            </w:pPr>
            <w:r/>
            <w:r>
              <w:rPr>
                <w:sz w:val="20"/>
              </w:rPr>
              <w:t>Cơ sở: k-NN thô</w:t>
            </w:r>
          </w:p>
        </w:tc>
        <w:tc>
          <w:tcPr>
            <w:tcW w:type="dxa" w:w="1134"/>
          </w:tcPr>
          <w:p>
            <w:pPr>
              <w:spacing w:after="0"/>
            </w:pPr>
            <w:r/>
            <w:r>
              <w:rPr>
                <w:sz w:val="20"/>
              </w:rPr>
              <w:t>0,277</w:t>
            </w:r>
          </w:p>
        </w:tc>
        <w:tc>
          <w:tcPr>
            <w:tcW w:type="dxa" w:w="1134"/>
          </w:tcPr>
          <w:p>
            <w:pPr>
              <w:spacing w:after="0"/>
            </w:pPr>
            <w:r/>
            <w:r>
              <w:rPr>
                <w:sz w:val="20"/>
              </w:rPr>
              <w:t>0,692</w:t>
            </w:r>
          </w:p>
        </w:tc>
        <w:tc>
          <w:tcPr>
            <w:tcW w:type="dxa" w:w="1134"/>
          </w:tcPr>
          <w:p>
            <w:pPr>
              <w:spacing w:after="0"/>
            </w:pPr>
            <w:r/>
            <w:r>
              <w:rPr>
                <w:sz w:val="20"/>
              </w:rPr>
              <w:t>0,210</w:t>
            </w:r>
          </w:p>
        </w:tc>
      </w:tr>
      <w:tr>
        <w:tc>
          <w:tcPr>
            <w:tcW w:type="dxa" w:w="2268"/>
          </w:tcPr>
          <w:p>
            <w:pPr>
              <w:spacing w:after="0"/>
            </w:pPr>
            <w:r/>
            <w:r>
              <w:rPr>
                <w:sz w:val="20"/>
              </w:rPr>
              <w:t>Đã loại trùng (5320)</w:t>
            </w:r>
          </w:p>
        </w:tc>
        <w:tc>
          <w:tcPr>
            <w:tcW w:type="dxa" w:w="3402"/>
          </w:tcPr>
          <w:p>
            <w:pPr>
              <w:spacing w:after="0"/>
            </w:pPr>
            <w:r/>
            <w:r>
              <w:rPr>
                <w:sz w:val="20"/>
              </w:rPr>
              <w:t>SVM RBF (C=10, cân bằng lớp)</w:t>
            </w:r>
          </w:p>
        </w:tc>
        <w:tc>
          <w:tcPr>
            <w:tcW w:type="dxa" w:w="1134"/>
          </w:tcPr>
          <w:p>
            <w:pPr>
              <w:spacing w:after="0"/>
            </w:pPr>
            <w:r/>
            <w:r>
              <w:rPr>
                <w:sz w:val="20"/>
              </w:rPr>
              <w:t>0,539</w:t>
            </w:r>
          </w:p>
        </w:tc>
        <w:tc>
          <w:tcPr>
            <w:tcW w:type="dxa" w:w="1134"/>
          </w:tcPr>
          <w:p>
            <w:pPr>
              <w:spacing w:after="0"/>
            </w:pPr>
            <w:r/>
            <w:r>
              <w:rPr>
                <w:sz w:val="20"/>
              </w:rPr>
              <w:t>0,837</w:t>
            </w:r>
          </w:p>
        </w:tc>
        <w:tc>
          <w:tcPr>
            <w:tcW w:type="dxa" w:w="1134"/>
          </w:tcPr>
          <w:p>
            <w:pPr>
              <w:spacing w:after="0"/>
            </w:pPr>
            <w:r/>
            <w:r>
              <w:rPr>
                <w:sz w:val="20"/>
              </w:rPr>
              <w:t>0,781</w:t>
            </w:r>
          </w:p>
        </w:tc>
      </w:tr>
      <w:tr>
        <w:tc>
          <w:tcPr>
            <w:tcW w:type="dxa" w:w="2268"/>
          </w:tcPr>
          <w:p>
            <w:pPr>
              <w:spacing w:after="0"/>
            </w:pPr>
            <w:r/>
            <w:r>
              <w:rPr>
                <w:sz w:val="20"/>
              </w:rPr>
              <w:t>Đã loại trùng (5320)</w:t>
            </w:r>
          </w:p>
        </w:tc>
        <w:tc>
          <w:tcPr>
            <w:tcW w:type="dxa" w:w="3402"/>
          </w:tcPr>
          <w:p>
            <w:pPr>
              <w:spacing w:after="0"/>
            </w:pPr>
            <w:r/>
            <w:r>
              <w:rPr>
                <w:sz w:val="20"/>
              </w:rPr>
              <w:t>Random Forest (cân bằng lớp)</w:t>
            </w:r>
          </w:p>
        </w:tc>
        <w:tc>
          <w:tcPr>
            <w:tcW w:type="dxa" w:w="1134"/>
          </w:tcPr>
          <w:p>
            <w:pPr>
              <w:spacing w:after="0"/>
            </w:pPr>
            <w:r/>
            <w:r>
              <w:rPr>
                <w:sz w:val="20"/>
              </w:rPr>
              <w:t>0,450</w:t>
            </w:r>
          </w:p>
        </w:tc>
        <w:tc>
          <w:tcPr>
            <w:tcW w:type="dxa" w:w="1134"/>
          </w:tcPr>
          <w:p>
            <w:pPr>
              <w:spacing w:after="0"/>
            </w:pPr>
            <w:r/>
            <w:r>
              <w:rPr>
                <w:sz w:val="20"/>
              </w:rPr>
              <w:t>0,860</w:t>
            </w:r>
          </w:p>
        </w:tc>
        <w:tc>
          <w:tcPr>
            <w:tcW w:type="dxa" w:w="1134"/>
          </w:tcPr>
          <w:p>
            <w:pPr>
              <w:spacing w:after="0"/>
            </w:pPr>
            <w:r/>
            <w:r>
              <w:rPr>
                <w:sz w:val="20"/>
              </w:rPr>
              <w:t>0,339</w:t>
            </w:r>
          </w:p>
        </w:tc>
      </w:tr>
      <w:tr>
        <w:tc>
          <w:tcPr>
            <w:tcW w:type="dxa" w:w="2268"/>
          </w:tcPr>
          <w:p>
            <w:pPr>
              <w:spacing w:after="0"/>
            </w:pPr>
            <w:r/>
            <w:r>
              <w:rPr>
                <w:sz w:val="20"/>
              </w:rPr>
              <w:t>Đã loại trùng (5320)</w:t>
            </w:r>
          </w:p>
        </w:tc>
        <w:tc>
          <w:tcPr>
            <w:tcW w:type="dxa" w:w="3402"/>
          </w:tcPr>
          <w:p>
            <w:pPr>
              <w:spacing w:after="0"/>
            </w:pPr>
            <w:r/>
            <w:r>
              <w:rPr>
                <w:sz w:val="20"/>
              </w:rPr>
              <w:t>Gradient Boosting (HistGB)</w:t>
            </w:r>
          </w:p>
        </w:tc>
        <w:tc>
          <w:tcPr>
            <w:tcW w:type="dxa" w:w="1134"/>
          </w:tcPr>
          <w:p>
            <w:pPr>
              <w:spacing w:after="0"/>
            </w:pPr>
            <w:r/>
            <w:r>
              <w:rPr>
                <w:sz w:val="20"/>
              </w:rPr>
              <w:t>0,494</w:t>
            </w:r>
          </w:p>
        </w:tc>
        <w:tc>
          <w:tcPr>
            <w:tcW w:type="dxa" w:w="1134"/>
          </w:tcPr>
          <w:p>
            <w:pPr>
              <w:spacing w:after="0"/>
            </w:pPr>
            <w:r/>
            <w:r>
              <w:rPr>
                <w:sz w:val="20"/>
              </w:rPr>
              <w:t>0,851</w:t>
            </w:r>
          </w:p>
        </w:tc>
        <w:tc>
          <w:tcPr>
            <w:tcW w:type="dxa" w:w="1134"/>
          </w:tcPr>
          <w:p>
            <w:pPr>
              <w:spacing w:after="0"/>
            </w:pPr>
            <w:r/>
            <w:r>
              <w:rPr>
                <w:sz w:val="20"/>
              </w:rPr>
              <w:t>0,418</w:t>
            </w:r>
          </w:p>
        </w:tc>
      </w:tr>
    </w:tbl>
    <w:p>
      <w:pPr>
        <w:jc w:val="center"/>
      </w:pPr>
      <w:r>
        <w:rPr>
          <w:b w:val="0"/>
          <w:i/>
          <w:sz w:val="22"/>
        </w:rPr>
        <w:t>Bảng 5. Cùng quy trình đánh giá, có và không có bản ghi trùng.</w:t>
      </w:r>
    </w:p>
    <w:p>
      <w:r>
        <w:rPr>
          <w:b w:val="0"/>
          <w:i w:val="0"/>
        </w:rPr>
        <w:t>Với dữ liệu còn trùng, Random Forest đạt F1 0,665 và Gradient Boosting 0,676, có vẻ vượt xa SVM (0,586). Sau khi loại trùng, F1 của chúng rơi xuống 0,450 và 0,494, trong khi SVM chỉ giảm nhẹ (0,539). Nguyên nhân: mô hình cây có thể 'nhớ' chính xác mẫu huấn luyện, nên khi bản sao nằm ở tập kiểm tra chúng được chấm đúng gần như chắc chắn. Đây là lỗi phương pháp thường gặp với bộ dữ liệu này; nhiều kết quả công bố trên Wine Quality không loại trùng nên có thể lạc quan.</w:t>
      </w:r>
    </w:p>
    <w:p>
      <w:pPr>
        <w:pStyle w:val="Heading2"/>
      </w:pPr>
      <w:r>
        <w:t>5.5 Theo loại rượu, số đặc trưng và lượng dữ liệu</w:t>
      </w:r>
    </w:p>
    <w:p>
      <w:r>
        <w:rPr>
          <w:b w:val="0"/>
          <w:i w:val="0"/>
        </w:rPr>
        <w:t>F1 của SVM tương đương giữa rượu đỏ (0,549) và trắng (0,549); AUC trên rượu đỏ cao hơn (0,883 so với 0,833). Huấn luyện chung hai loại và thêm biến is_red không làm hại rượu đỏ, dù chỉ chiếm 26% mẫu.</w:t>
      </w:r>
    </w:p>
    <w:p>
      <w:pPr>
        <w:jc w:val="center"/>
      </w:pPr>
      <w:r>
        <w:drawing>
          <wp:inline xmlns:a="http://schemas.openxmlformats.org/drawingml/2006/main" xmlns:pic="http://schemas.openxmlformats.org/drawingml/2006/picture">
            <wp:extent cx="5580000" cy="2029091"/>
            <wp:docPr id="9" name="Picture 9"/>
            <wp:cNvGraphicFramePr>
              <a:graphicFrameLocks noChangeAspect="1"/>
            </wp:cNvGraphicFramePr>
            <a:graphic>
              <a:graphicData uri="http://schemas.openxmlformats.org/drawingml/2006/picture">
                <pic:pic>
                  <pic:nvPicPr>
                    <pic:cNvPr id="0" name="sensitivity.png"/>
                    <pic:cNvPicPr/>
                  </pic:nvPicPr>
                  <pic:blipFill>
                    <a:blip r:embed="rId17"/>
                    <a:stretch>
                      <a:fillRect/>
                    </a:stretch>
                  </pic:blipFill>
                  <pic:spPr>
                    <a:xfrm>
                      <a:off x="0" y="0"/>
                      <a:ext cx="5580000" cy="2029091"/>
                    </a:xfrm>
                    <a:prstGeom prst="rect"/>
                  </pic:spPr>
                </pic:pic>
              </a:graphicData>
            </a:graphic>
          </wp:inline>
        </w:drawing>
      </w:r>
    </w:p>
    <w:p>
      <w:pPr>
        <w:jc w:val="center"/>
      </w:pPr>
      <w:r>
        <w:rPr>
          <w:b w:val="0"/>
          <w:i/>
          <w:sz w:val="22"/>
        </w:rPr>
        <w:t>Hình 9. Trái: AUC của SVM theo số đặc trưng quan trọng nhất (RF). Phải: đường cong học (5 lần chia 80/20).</w:t>
      </w:r>
    </w:p>
    <w:p>
      <w:r>
        <w:rPr>
          <w:b w:val="0"/>
          <w:i w:val="0"/>
        </w:rPr>
        <w:t>Chỉ dùng độ cồn đã đạt AUC 0,765; đủ 12 đặc trưng đạt 0,848 – các chỉ tiêu còn lại có đóng góp nhưng mỗi cái nhỏ. Đường cong học của SVM và Random Forest vẫn còn đi lên khi dùng 100% dữ liệu (AUC 0,850 / 0,858), gợi ý thêm dữ liệu còn có ích; k-NN thô kém hẳn ở mọi cỡ dữ liệu (0,699).</w:t>
      </w:r>
    </w:p>
    <w:p>
      <w:pPr>
        <w:pStyle w:val="Heading1"/>
      </w:pPr>
      <w:r>
        <w:t>6. Hạn chế</w:t>
      </w:r>
    </w:p>
    <w:p>
      <w:pPr>
        <w:pStyle w:val="ListBullet"/>
      </w:pPr>
      <w:r>
        <w:rPr>
          <w:b w:val="0"/>
          <w:i w:val="0"/>
        </w:rPr>
        <w:t>Nhãn là điểm cảm quan chủ quan (trung vị ≥ 3 chuyên gia); ranh giới 6/7 có nhiễu nên tồn tại trần hiệu năng mà không mô hình nào vượt qua được bằng các đặc trưng hiện có.</w:t>
      </w:r>
    </w:p>
    <w:p>
      <w:pPr>
        <w:pStyle w:val="ListBullet"/>
      </w:pPr>
      <w:r>
        <w:rPr>
          <w:b w:val="0"/>
          <w:i w:val="0"/>
        </w:rPr>
        <w:t>Chỉ có chỉ tiêu hóa lý – không có giống nho, năm, giá bán, hương vị; vì lý do bảo mật, nhãn hiệu không được công bố. Kết quả chỉ áp dụng cho rượu Vinho Verde 2004–2007.</w:t>
      </w:r>
    </w:p>
    <w:p>
      <w:pPr>
        <w:pStyle w:val="ListBullet"/>
      </w:pPr>
      <w:r>
        <w:rPr>
          <w:b w:val="0"/>
          <w:i w:val="0"/>
        </w:rPr>
        <w:t>Precision của mô hình tốt nhất chỉ ~0,4 ở ngưỡng mặc định: cứ 10 chai được đề xuất 'ngon' thì khoảng 6 chai thực ra là rượu thường – chưa đủ để thay thế hội đồng nếm.</w:t>
      </w:r>
    </w:p>
    <w:p>
      <w:pPr>
        <w:pStyle w:val="ListBullet"/>
      </w:pPr>
      <w:r>
        <w:rPr>
          <w:b w:val="0"/>
          <w:i w:val="0"/>
        </w:rPr>
        <w:t>Ngưỡng tối ưu và phân tích lỗi tính trên dự đoán ngoài-fold của toàn bộ dữ liệu, không có tập kiểm tra độc lập hoàn toàn; ngưỡng tối ưu vì vậy hơi lạc quan.</w:t>
      </w:r>
    </w:p>
    <w:p>
      <w:pPr>
        <w:pStyle w:val="ListBullet"/>
      </w:pPr>
      <w:r>
        <w:rPr>
          <w:b w:val="0"/>
          <w:i w:val="0"/>
        </w:rPr>
        <w:t>Lưới siêu tham số nhỏ để giới hạn thời gian chạy; phương án thứ bậc mới dừng ở SVR + ngưỡng, chưa thử mô hình thứ bậc chuyên dụng. Demo dùng SVM phân lớp vì cần xác suất.</w:t>
      </w:r>
    </w:p>
    <w:p>
      <w:pPr>
        <w:pStyle w:val="ListBullet"/>
      </w:pPr>
      <w:r>
        <w:rPr>
          <w:b w:val="0"/>
          <w:i w:val="0"/>
        </w:rPr>
        <w:t>Demo dùng mô hình huấn luyện trên toàn bộ dữ liệu nên dự đoán cho mẫu có sẵn là trong-mẫu.</w:t>
      </w:r>
    </w:p>
    <w:p>
      <w:pPr>
        <w:pStyle w:val="Heading2"/>
      </w:pPr>
      <w:r>
        <w:t>Hướng phát triển</w:t>
      </w:r>
    </w:p>
    <w:p>
      <w:pPr>
        <w:pStyle w:val="ListBullet"/>
      </w:pPr>
      <w:r>
        <w:rPr>
          <w:b w:val="0"/>
          <w:i w:val="0"/>
        </w:rPr>
        <w:t>Mô hình thứ bậc chuyên dụng (ordinal logistic, cost-sensitive theo khoảng cách điểm); chọn ngưỡng trên tập kiểm định riêng theo hàm chi phí của nhà sản xuất.</w:t>
      </w:r>
    </w:p>
    <w:p>
      <w:pPr>
        <w:pStyle w:val="ListBullet"/>
      </w:pPr>
      <w:r>
        <w:rPr>
          <w:b w:val="0"/>
          <w:i w:val="0"/>
        </w:rPr>
        <w:t>Theo gợi ý của UCI: dùng phát hiện ngoại lai (outlier/novelty detection) để tìm các rượu rất tốt hoặc rất kém – nhóm hiếm (điểm 3, 9).</w:t>
      </w:r>
    </w:p>
    <w:p>
      <w:pPr>
        <w:pStyle w:val="ListBullet"/>
      </w:pPr>
      <w:r>
        <w:rPr>
          <w:b w:val="0"/>
          <w:i w:val="0"/>
        </w:rPr>
        <w:t>Hiệu chuẩn xác suất và giải thích (SHAP) để người dùng hiểu vì sao một mẫu được đề xuất.</w:t>
      </w:r>
    </w:p>
    <w:p>
      <w:pPr>
        <w:pStyle w:val="ListBullet"/>
      </w:pPr>
      <w:r>
        <w:rPr>
          <w:b w:val="0"/>
          <w:i w:val="0"/>
        </w:rPr>
        <w:t>Bổ sung đặc trưng ngoài hóa lý (giống nho, phổ hương) và dữ liệu từ vùng/năm khác để kiểm chứng ngoài.</w:t>
      </w:r>
    </w:p>
    <w:p>
      <w:pPr>
        <w:pStyle w:val="Heading1"/>
      </w:pPr>
      <w:r>
        <w:t>7. Kết luận</w:t>
      </w:r>
    </w:p>
    <w:p>
      <w:r>
        <w:rPr>
          <w:b w:val="0"/>
          <w:i w:val="0"/>
        </w:rPr>
        <w:t>Trên bài toán nhận dạng rượu vang chất lượng cao, phương án cải tiến SVM RBF + chuẩn hóa + cân bằng lớp nâng F1 từ 0,277 (k-NN thô) lên 0,548 và AUC từ 0,692 lên 0,848, có ý nghĩa thống kê; hồi quy thứ bậc SVR, vốn tận dụng thứ tự của điểm chất lượng, còn đạt F1 0,570. Bốn yếu tố tạo ra cải thiện: chuẩn hóa đặc trưng, xử lý mất cân bằng lớp, lựa chọn ngưỡng và khai thác thứ bậc của nhãn; còn chọn đặc trưng thì không giúp ích. Phân tích lỗi chỉ ra rằng phần lớn sai số nằm ở ranh giới điểm 6/7 và ở những rượu ngon có độ cồn thấp; đồng thời việc loại bản ghi trùng là bắt buộc để đánh giá trung thực. Mô hình phù hợp làm công cụ sàng lọc hỗ trợ, chưa thể thay thế đánh giá cảm quan.</w:t>
      </w:r>
    </w:p>
    <w:p>
      <w:pPr>
        <w:pStyle w:val="Heading1"/>
      </w:pPr>
      <w:r>
        <w:t>8. Mã nguồn và hướng dẫn chạy</w:t>
      </w:r>
    </w:p>
    <w:tbl>
      <w:tblPr>
        <w:tblStyle w:val="TableGrid"/>
        <w:tblW w:type="auto" w:w="0"/>
        <w:jc w:val="center"/>
        <w:tblLook w:firstColumn="1" w:firstRow="1" w:lastColumn="0" w:lastRow="0" w:noHBand="0" w:noVBand="1" w:val="04A0"/>
      </w:tblPr>
      <w:tblGrid>
        <w:gridCol w:w="4536"/>
        <w:gridCol w:w="4536"/>
      </w:tblGrid>
      <w:tr>
        <w:tc>
          <w:tcPr>
            <w:tcW w:type="dxa" w:w="2551"/>
            <w:shd w:val="clear" w:color="auto" w:fill="EAD7DB"/>
          </w:tcPr>
          <w:p>
            <w:r/>
            <w:r>
              <w:rPr>
                <w:b/>
                <w:sz w:val="20"/>
              </w:rPr>
              <w:t>Tệp</w:t>
            </w:r>
          </w:p>
        </w:tc>
        <w:tc>
          <w:tcPr>
            <w:tcW w:type="dxa" w:w="6520"/>
            <w:shd w:val="clear" w:color="auto" w:fill="EAD7DB"/>
          </w:tcPr>
          <w:p>
            <w:r/>
            <w:r>
              <w:rPr>
                <w:b/>
                <w:sz w:val="20"/>
              </w:rPr>
              <w:t>Chức năng</w:t>
            </w:r>
          </w:p>
        </w:tc>
      </w:tr>
      <w:tr>
        <w:tc>
          <w:tcPr>
            <w:tcW w:type="dxa" w:w="2551"/>
          </w:tcPr>
          <w:p>
            <w:pPr>
              <w:spacing w:after="0"/>
            </w:pPr>
            <w:r/>
            <w:r>
              <w:rPr>
                <w:sz w:val="20"/>
              </w:rPr>
              <w:t>run_experiments.py</w:t>
            </w:r>
          </w:p>
        </w:tc>
        <w:tc>
          <w:tcPr>
            <w:tcW w:type="dxa" w:w="6520"/>
          </w:tcPr>
          <w:p>
            <w:pPr>
              <w:spacing w:after="0"/>
            </w:pPr>
            <w:r/>
            <w:r>
              <w:rPr>
                <w:sz w:val="20"/>
              </w:rPr>
              <w:t>Tải dữ liệu, loại trùng, chạy toàn bộ thí nghiệm, sinh results/, figures/, model_best.joblib</w:t>
            </w:r>
          </w:p>
        </w:tc>
      </w:tr>
      <w:tr>
        <w:tc>
          <w:tcPr>
            <w:tcW w:type="dxa" w:w="2551"/>
          </w:tcPr>
          <w:p>
            <w:pPr>
              <w:spacing w:after="0"/>
            </w:pPr>
            <w:r/>
            <w:r>
              <w:rPr>
                <w:sz w:val="20"/>
              </w:rPr>
              <w:t>robust_dedup.py</w:t>
            </w:r>
          </w:p>
        </w:tc>
        <w:tc>
          <w:tcPr>
            <w:tcW w:type="dxa" w:w="6520"/>
          </w:tcPr>
          <w:p>
            <w:pPr>
              <w:spacing w:after="0"/>
            </w:pPr>
            <w:r/>
            <w:r>
              <w:rPr>
                <w:sz w:val="20"/>
              </w:rPr>
              <w:t>So sánh kết quả có/không bản ghi trùng (Bảng 5)</w:t>
            </w:r>
          </w:p>
        </w:tc>
      </w:tr>
      <w:tr>
        <w:tc>
          <w:tcPr>
            <w:tcW w:type="dxa" w:w="2551"/>
          </w:tcPr>
          <w:p>
            <w:pPr>
              <w:spacing w:after="0"/>
            </w:pPr>
            <w:r/>
            <w:r>
              <w:rPr>
                <w:sz w:val="20"/>
              </w:rPr>
              <w:t>app.py</w:t>
            </w:r>
          </w:p>
        </w:tc>
        <w:tc>
          <w:tcPr>
            <w:tcW w:type="dxa" w:w="6520"/>
          </w:tcPr>
          <w:p>
            <w:pPr>
              <w:spacing w:after="0"/>
            </w:pPr>
            <w:r/>
            <w:r>
              <w:rPr>
                <w:sz w:val="20"/>
              </w:rPr>
              <w:t>Demo Streamlit</w:t>
            </w:r>
          </w:p>
        </w:tc>
      </w:tr>
      <w:tr>
        <w:tc>
          <w:tcPr>
            <w:tcW w:type="dxa" w:w="2551"/>
          </w:tcPr>
          <w:p>
            <w:pPr>
              <w:spacing w:after="0"/>
            </w:pPr>
            <w:r/>
            <w:r>
              <w:rPr>
                <w:sz w:val="20"/>
              </w:rPr>
              <w:t>gen_report.py, gen_slides.py</w:t>
            </w:r>
          </w:p>
        </w:tc>
        <w:tc>
          <w:tcPr>
            <w:tcW w:type="dxa" w:w="6520"/>
          </w:tcPr>
          <w:p>
            <w:pPr>
              <w:spacing w:after="0"/>
            </w:pPr>
            <w:r/>
            <w:r>
              <w:rPr>
                <w:sz w:val="20"/>
              </w:rPr>
              <w:t>Sinh báo cáo .docx và slide .pptx từ kết quả</w:t>
            </w:r>
          </w:p>
        </w:tc>
      </w:tr>
      <w:tr>
        <w:tc>
          <w:tcPr>
            <w:tcW w:type="dxa" w:w="2551"/>
          </w:tcPr>
          <w:p>
            <w:pPr>
              <w:spacing w:after="0"/>
            </w:pPr>
            <w:r/>
            <w:r>
              <w:rPr>
                <w:sz w:val="20"/>
              </w:rPr>
              <w:t>data/</w:t>
            </w:r>
          </w:p>
        </w:tc>
        <w:tc>
          <w:tcPr>
            <w:tcW w:type="dxa" w:w="6520"/>
          </w:tcPr>
          <w:p>
            <w:pPr>
              <w:spacing w:after="0"/>
            </w:pPr>
            <w:r/>
            <w:r>
              <w:rPr>
                <w:sz w:val="20"/>
              </w:rPr>
              <w:t>2 tệp CSV gốc từ UCI</w:t>
            </w:r>
          </w:p>
        </w:tc>
      </w:tr>
      <w:tr>
        <w:tc>
          <w:tcPr>
            <w:tcW w:type="dxa" w:w="2551"/>
          </w:tcPr>
          <w:p>
            <w:pPr>
              <w:spacing w:after="0"/>
            </w:pPr>
            <w:r/>
            <w:r>
              <w:rPr>
                <w:sz w:val="20"/>
              </w:rPr>
              <w:t>results/, figures/</w:t>
            </w:r>
          </w:p>
        </w:tc>
        <w:tc>
          <w:tcPr>
            <w:tcW w:type="dxa" w:w="6520"/>
          </w:tcPr>
          <w:p>
            <w:pPr>
              <w:spacing w:after="0"/>
            </w:pPr>
            <w:r/>
            <w:r>
              <w:rPr>
                <w:sz w:val="20"/>
              </w:rPr>
              <w:t>Bảng số liệu và hình</w:t>
            </w:r>
          </w:p>
        </w:tc>
      </w:tr>
    </w:tbl>
    <w:p/>
    <w:p>
      <w:r>
        <w:rPr>
          <w:rFonts w:ascii="Courier New" w:hAnsi="Courier New"/>
          <w:b w:val="0"/>
          <w:i w:val="0"/>
          <w:sz w:val="21"/>
        </w:rPr>
        <w:t>pip install -r requirements.txt</w:t>
      </w:r>
    </w:p>
    <w:p>
      <w:r>
        <w:rPr>
          <w:rFonts w:ascii="Courier New" w:hAnsi="Courier New"/>
          <w:b w:val="0"/>
          <w:i w:val="0"/>
          <w:sz w:val="21"/>
        </w:rPr>
        <w:t>python run_experiments.py     # khoảng 10 phút; dùng ./data</w:t>
      </w:r>
    </w:p>
    <w:p>
      <w:r>
        <w:rPr>
          <w:rFonts w:ascii="Courier New" w:hAnsi="Courier New"/>
          <w:b w:val="0"/>
          <w:i w:val="0"/>
          <w:sz w:val="21"/>
        </w:rPr>
        <w:t>python run_experiments.py --data-dir ~/Downloads/wine+quality   # thư mục dữ liệu khác</w:t>
      </w:r>
    </w:p>
    <w:p>
      <w:r>
        <w:rPr>
          <w:rFonts w:ascii="Courier New" w:hAnsi="Courier New"/>
          <w:b w:val="0"/>
          <w:i w:val="0"/>
          <w:sz w:val="21"/>
        </w:rPr>
        <w:t>python robust_dedup.py</w:t>
      </w:r>
    </w:p>
    <w:p>
      <w:r>
        <w:rPr>
          <w:rFonts w:ascii="Courier New" w:hAnsi="Courier New"/>
          <w:b w:val="0"/>
          <w:i w:val="0"/>
          <w:sz w:val="21"/>
        </w:rPr>
        <w:t>streamlit run app.py          # mở http://localhost:8501</w:t>
      </w:r>
    </w:p>
    <w:p>
      <w:pPr>
        <w:pStyle w:val="Heading1"/>
      </w:pPr>
      <w:r>
        <w:t>9. Phân công và tự đánh giá đóng góp</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67"/>
            <w:shd w:val="clear" w:color="auto" w:fill="EAD7DB"/>
          </w:tcPr>
          <w:p>
            <w:r/>
            <w:r>
              <w:rPr>
                <w:b/>
                <w:sz w:val="20"/>
              </w:rPr>
              <w:t>TT</w:t>
            </w:r>
          </w:p>
        </w:tc>
        <w:tc>
          <w:tcPr>
            <w:tcW w:type="dxa" w:w="1984"/>
            <w:shd w:val="clear" w:color="auto" w:fill="EAD7DB"/>
          </w:tcPr>
          <w:p>
            <w:r/>
            <w:r>
              <w:rPr>
                <w:b/>
                <w:sz w:val="20"/>
              </w:rPr>
              <w:t>Họ tên / MSSV</w:t>
            </w:r>
          </w:p>
        </w:tc>
        <w:tc>
          <w:tcPr>
            <w:tcW w:type="dxa" w:w="4082"/>
            <w:shd w:val="clear" w:color="auto" w:fill="EAD7DB"/>
          </w:tcPr>
          <w:p>
            <w:r/>
            <w:r>
              <w:rPr>
                <w:b/>
                <w:sz w:val="20"/>
              </w:rPr>
              <w:t>Nhiệm vụ</w:t>
            </w:r>
          </w:p>
        </w:tc>
        <w:tc>
          <w:tcPr>
            <w:tcW w:type="dxa" w:w="1134"/>
            <w:shd w:val="clear" w:color="auto" w:fill="EAD7DB"/>
          </w:tcPr>
          <w:p>
            <w:r/>
            <w:r>
              <w:rPr>
                <w:b/>
                <w:sz w:val="20"/>
              </w:rPr>
              <w:t>Đóng góp</w:t>
            </w:r>
          </w:p>
        </w:tc>
        <w:tc>
          <w:tcPr>
            <w:tcW w:type="dxa" w:w="1304"/>
            <w:shd w:val="clear" w:color="auto" w:fill="EAD7DB"/>
          </w:tcPr>
          <w:p>
            <w:r/>
            <w:r>
              <w:rPr>
                <w:b/>
                <w:sz w:val="20"/>
              </w:rPr>
              <w:t>Tự đánh giá (/10)</w:t>
            </w:r>
          </w:p>
        </w:tc>
      </w:tr>
      <w:tr>
        <w:tc>
          <w:tcPr>
            <w:tcW w:type="dxa" w:w="567"/>
          </w:tcPr>
          <w:p>
            <w:pPr>
              <w:spacing w:after="0"/>
            </w:pPr>
            <w:r/>
            <w:r>
              <w:rPr>
                <w:sz w:val="20"/>
              </w:rPr>
              <w:t>1</w:t>
            </w:r>
          </w:p>
        </w:tc>
        <w:tc>
          <w:tcPr>
            <w:tcW w:type="dxa" w:w="1984"/>
          </w:tcPr>
          <w:p>
            <w:pPr>
              <w:spacing w:after="0"/>
            </w:pPr>
            <w:r/>
            <w:r>
              <w:rPr>
                <w:sz w:val="20"/>
              </w:rPr>
              <w:t>Nguyễn Quốc Cường</w:t>
              <w:br/>
              <w:t>B26CHKH013</w:t>
            </w:r>
          </w:p>
        </w:tc>
        <w:tc>
          <w:tcPr>
            <w:tcW w:type="dxa" w:w="4082"/>
          </w:tcPr>
          <w:p>
            <w:pPr>
              <w:spacing w:after="0"/>
            </w:pPr>
            <w:r/>
            <w:r>
              <w:rPr>
                <w:sz w:val="20"/>
              </w:rPr>
              <w:t>Phân tích bài toán: chọn đề tài và dữ liệu, xác định mục tiêu, thước đo đánh giá; làm slide thuyết trình</w:t>
            </w:r>
          </w:p>
        </w:tc>
        <w:tc>
          <w:tcPr>
            <w:tcW w:type="dxa" w:w="1134"/>
          </w:tcPr>
          <w:p>
            <w:pPr>
              <w:spacing w:after="0"/>
            </w:pPr>
            <w:r/>
            <w:r>
              <w:rPr>
                <w:sz w:val="20"/>
              </w:rPr>
              <w:t>50%</w:t>
            </w:r>
          </w:p>
        </w:tc>
        <w:tc>
          <w:tcPr>
            <w:tcW w:type="dxa" w:w="1304"/>
          </w:tcPr>
          <w:p>
            <w:pPr>
              <w:spacing w:after="0"/>
            </w:pPr>
            <w:r/>
            <w:r>
              <w:rPr>
                <w:sz w:val="20"/>
              </w:rPr>
              <w:t>....</w:t>
            </w:r>
          </w:p>
        </w:tc>
      </w:tr>
      <w:tr>
        <w:tc>
          <w:tcPr>
            <w:tcW w:type="dxa" w:w="567"/>
          </w:tcPr>
          <w:p>
            <w:pPr>
              <w:spacing w:after="0"/>
            </w:pPr>
            <w:r/>
            <w:r>
              <w:rPr>
                <w:sz w:val="20"/>
              </w:rPr>
              <w:t>2</w:t>
            </w:r>
          </w:p>
        </w:tc>
        <w:tc>
          <w:tcPr>
            <w:tcW w:type="dxa" w:w="1984"/>
          </w:tcPr>
          <w:p>
            <w:pPr>
              <w:spacing w:after="0"/>
            </w:pPr>
            <w:r/>
            <w:r>
              <w:rPr>
                <w:sz w:val="20"/>
              </w:rPr>
              <w:t>Trần Như Đức</w:t>
              <w:br/>
              <w:t>B26CHKH027</w:t>
            </w:r>
          </w:p>
        </w:tc>
        <w:tc>
          <w:tcPr>
            <w:tcW w:type="dxa" w:w="4082"/>
          </w:tcPr>
          <w:p>
            <w:pPr>
              <w:spacing w:after="0"/>
            </w:pPr>
            <w:r/>
            <w:r>
              <w:rPr>
                <w:sz w:val="20"/>
              </w:rPr>
              <w:t>Cài đặt code thuật toán: tiền xử lý, phương án cơ sở và cải tiến, kiểm định chéo, demo; viết báo cáo .docx</w:t>
            </w:r>
          </w:p>
        </w:tc>
        <w:tc>
          <w:tcPr>
            <w:tcW w:type="dxa" w:w="1134"/>
          </w:tcPr>
          <w:p>
            <w:pPr>
              <w:spacing w:after="0"/>
            </w:pPr>
            <w:r/>
            <w:r>
              <w:rPr>
                <w:sz w:val="20"/>
              </w:rPr>
              <w:t>50%</w:t>
            </w:r>
          </w:p>
        </w:tc>
        <w:tc>
          <w:tcPr>
            <w:tcW w:type="dxa" w:w="1304"/>
          </w:tcPr>
          <w:p>
            <w:pPr>
              <w:spacing w:after="0"/>
            </w:pPr>
            <w:r/>
            <w:r>
              <w:rPr>
                <w:sz w:val="20"/>
              </w:rPr>
              <w:t>....</w:t>
            </w:r>
          </w:p>
        </w:tc>
      </w:tr>
    </w:tbl>
    <w:p>
      <w:r>
        <w:rPr>
          <w:b w:val="0"/>
          <w:i/>
        </w:rPr>
        <w:t>Tổng đóng góp: 100%. Hai thành viên cùng thảo luận chọn phương án và thống nhất kết luận.</w:t>
      </w:r>
    </w:p>
    <w:p>
      <w:pPr>
        <w:pStyle w:val="Heading1"/>
      </w:pPr>
      <w:r>
        <w:t>Tài liệu tham khảo và nguồn</w:t>
      </w:r>
    </w:p>
    <w:p>
      <w:r>
        <w:rPr>
          <w:b w:val="0"/>
          <w:i w:val="0"/>
        </w:rPr>
        <w:t>[1] Cortez, P., Cerdeira, A., Almeida, F., Matos, T., Reis, J. (2009). Wine Quality [Dataset]. UCI Machine Learning Repository. https://archive.ics.uci.edu/dataset/186/wine+quality, https://doi.org/10.24432/C56S3T</w:t>
      </w:r>
    </w:p>
    <w:p>
      <w:r>
        <w:rPr>
          <w:b w:val="0"/>
          <w:i w:val="0"/>
        </w:rPr>
        <w:t>[2] Cortez, P., Cerdeira, A., Almeida, F., Matos, T., Reis, J. (2009). Modeling wine preferences by data mining from physicochemical properties. Decision Support Systems 47(4), 547–553.</w:t>
      </w:r>
    </w:p>
    <w:p>
      <w:r>
        <w:rPr>
          <w:b w:val="0"/>
          <w:i w:val="0"/>
        </w:rPr>
        <w:t>[3] Pedregosa, F. et al. (2011). Scikit-learn: Machine Learning in Python. JMLR 12, 2825–2830. https://scikit-learn.org (mã tham khảo: Pipeline, GridSearchCV, SVC, HistGradientBoostingClassifier).</w:t>
      </w:r>
    </w:p>
    <w:p>
      <w:r>
        <w:rPr>
          <w:b w:val="0"/>
          <w:i w:val="0"/>
        </w:rPr>
        <w:t>[4] Nadeau, C., Bengio, Y. (2003). Inference for the generalization error. Machine Learning 52(3), 239–281.</w:t>
      </w:r>
    </w:p>
    <w:p>
      <w:r>
        <w:rPr>
          <w:b w:val="0"/>
          <w:i w:val="0"/>
        </w:rPr>
        <w:t>[5] Cortes, C., Vapnik, V. (1995). Support-vector networks. Machine Learning 20(3), 273–297.</w:t>
      </w:r>
    </w:p>
    <w:p>
      <w:r>
        <w:rPr>
          <w:b w:val="0"/>
          <w:i w:val="0"/>
        </w:rPr>
        <w:t>[6] Breiman, L. (2001). Random Forests. Machine Learning 45(1), 5–32.</w:t>
      </w:r>
    </w:p>
    <w:p>
      <w:r>
        <w:rPr>
          <w:b w:val="0"/>
          <w:i w:val="0"/>
        </w:rPr>
        <w:t>[7] Duda, R. O., Hart, P. E., Stork, D. G. (2001). Pattern Classification, 2nd ed. Wiley.</w:t>
      </w:r>
    </w:p>
    <w:p>
      <w:r>
        <w:rPr>
          <w:b w:val="0"/>
          <w:i w:val="0"/>
        </w:rPr>
        <w:t>[8] Kaufman, S., Rosset, S., Perlich, C. (2012). Leakage in data mining: formulation, detection, and avoidance. ACM TKDD 6(4).</w:t>
      </w:r>
    </w:p>
    <w:p>
      <w:r>
        <w:rPr>
          <w:b w:val="0"/>
          <w:i w:val="0"/>
        </w:rPr>
        <w:t>[9] Streamlit documentation. https://docs.streamlit.io</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5A1E2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5A1E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