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4EDC" w14:textId="7D2983F5" w:rsidR="0024657C" w:rsidRDefault="0024657C">
      <w:proofErr w:type="spellStart"/>
      <w:r>
        <w:t>Câu</w:t>
      </w:r>
      <w:proofErr w:type="spellEnd"/>
      <w:r>
        <w:t xml:space="preserve"> 1.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ACL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4657C" w14:paraId="2006230F" w14:textId="77777777" w:rsidTr="0024657C">
        <w:tc>
          <w:tcPr>
            <w:tcW w:w="1596" w:type="dxa"/>
          </w:tcPr>
          <w:p w14:paraId="619BAA68" w14:textId="349D09B2" w:rsidR="0024657C" w:rsidRDefault="0024657C">
            <w:r>
              <w:t xml:space="preserve">Int </w:t>
            </w:r>
            <w:proofErr w:type="spellStart"/>
            <w:r>
              <w:t>addr</w:t>
            </w:r>
            <w:proofErr w:type="spellEnd"/>
          </w:p>
        </w:tc>
        <w:tc>
          <w:tcPr>
            <w:tcW w:w="1596" w:type="dxa"/>
          </w:tcPr>
          <w:p w14:paraId="2BE5373E" w14:textId="1E9BE9AF" w:rsidR="0024657C" w:rsidRDefault="0024657C">
            <w:r>
              <w:t>Int port</w:t>
            </w:r>
          </w:p>
        </w:tc>
        <w:tc>
          <w:tcPr>
            <w:tcW w:w="1596" w:type="dxa"/>
          </w:tcPr>
          <w:p w14:paraId="138508BD" w14:textId="72E63670" w:rsidR="0024657C" w:rsidRDefault="0024657C">
            <w:r>
              <w:t xml:space="preserve">Ext </w:t>
            </w:r>
            <w:proofErr w:type="spellStart"/>
            <w:r>
              <w:t>addr</w:t>
            </w:r>
            <w:proofErr w:type="spellEnd"/>
          </w:p>
        </w:tc>
        <w:tc>
          <w:tcPr>
            <w:tcW w:w="1596" w:type="dxa"/>
          </w:tcPr>
          <w:p w14:paraId="71ACEB83" w14:textId="25FB856E" w:rsidR="0024657C" w:rsidRDefault="0024657C">
            <w:r>
              <w:t>Ext port</w:t>
            </w:r>
          </w:p>
        </w:tc>
        <w:tc>
          <w:tcPr>
            <w:tcW w:w="1596" w:type="dxa"/>
          </w:tcPr>
          <w:p w14:paraId="11D3EAEB" w14:textId="283492DF" w:rsidR="0024657C" w:rsidRDefault="0024657C">
            <w:r>
              <w:t>Action</w:t>
            </w:r>
          </w:p>
        </w:tc>
        <w:tc>
          <w:tcPr>
            <w:tcW w:w="1596" w:type="dxa"/>
          </w:tcPr>
          <w:p w14:paraId="09E7E342" w14:textId="727715CE" w:rsidR="0024657C" w:rsidRDefault="0024657C">
            <w:r>
              <w:t>Comments</w:t>
            </w:r>
          </w:p>
        </w:tc>
      </w:tr>
      <w:tr w:rsidR="0024657C" w14:paraId="4C083AFB" w14:textId="77777777" w:rsidTr="0024657C">
        <w:tc>
          <w:tcPr>
            <w:tcW w:w="1596" w:type="dxa"/>
          </w:tcPr>
          <w:p w14:paraId="267BC640" w14:textId="5D8C686F" w:rsidR="0024657C" w:rsidRDefault="0024657C" w:rsidP="0024657C">
            <w:pPr>
              <w:jc w:val="center"/>
            </w:pPr>
            <w:r>
              <w:t>*</w:t>
            </w:r>
          </w:p>
        </w:tc>
        <w:tc>
          <w:tcPr>
            <w:tcW w:w="1596" w:type="dxa"/>
          </w:tcPr>
          <w:p w14:paraId="757149E2" w14:textId="0C7E2B2C" w:rsidR="0024657C" w:rsidRDefault="0024657C">
            <w:r>
              <w:t>25</w:t>
            </w:r>
          </w:p>
        </w:tc>
        <w:tc>
          <w:tcPr>
            <w:tcW w:w="1596" w:type="dxa"/>
          </w:tcPr>
          <w:p w14:paraId="162C4BA1" w14:textId="5F4ADC13" w:rsidR="0024657C" w:rsidRDefault="0024657C" w:rsidP="0024657C">
            <w:pPr>
              <w:jc w:val="center"/>
            </w:pPr>
            <w:r>
              <w:t>*</w:t>
            </w:r>
          </w:p>
        </w:tc>
        <w:tc>
          <w:tcPr>
            <w:tcW w:w="1596" w:type="dxa"/>
          </w:tcPr>
          <w:p w14:paraId="3C5E21F3" w14:textId="55E99B5E" w:rsidR="0024657C" w:rsidRDefault="0024657C" w:rsidP="0024657C">
            <w:pPr>
              <w:jc w:val="center"/>
            </w:pPr>
            <w:r>
              <w:t>*</w:t>
            </w:r>
          </w:p>
        </w:tc>
        <w:tc>
          <w:tcPr>
            <w:tcW w:w="1596" w:type="dxa"/>
          </w:tcPr>
          <w:p w14:paraId="0249458B" w14:textId="6061B01D" w:rsidR="0024657C" w:rsidRDefault="0024657C">
            <w:r>
              <w:t>allow</w:t>
            </w:r>
          </w:p>
        </w:tc>
        <w:tc>
          <w:tcPr>
            <w:tcW w:w="1596" w:type="dxa"/>
          </w:tcPr>
          <w:p w14:paraId="2F6FE21F" w14:textId="4201F6B2" w:rsidR="0024657C" w:rsidRDefault="0024657C">
            <w:r>
              <w:t>Allow ingress.</w:t>
            </w:r>
          </w:p>
          <w:p w14:paraId="4FFD85F0" w14:textId="3987E94A" w:rsidR="0024657C" w:rsidRDefault="0024657C">
            <w:r>
              <w:t>SMTP packets</w:t>
            </w:r>
          </w:p>
        </w:tc>
      </w:tr>
    </w:tbl>
    <w:p w14:paraId="12B13568" w14:textId="65D52326" w:rsidR="008772B0" w:rsidRDefault="008772B0"/>
    <w:p w14:paraId="76E47FD6" w14:textId="53E7F9F2" w:rsidR="0024657C" w:rsidRDefault="0024657C" w:rsidP="0024657C">
      <w:pPr>
        <w:pStyle w:val="ListParagraph"/>
        <w:numPr>
          <w:ilvl w:val="0"/>
          <w:numId w:val="1"/>
        </w:numPr>
      </w:pPr>
      <w:r>
        <w:t xml:space="preserve">Int address = “none”: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78970A58" w14:textId="2B8C7362" w:rsidR="0024657C" w:rsidRDefault="0024657C" w:rsidP="0024657C">
      <w:pPr>
        <w:pStyle w:val="ListParagraph"/>
        <w:numPr>
          <w:ilvl w:val="0"/>
          <w:numId w:val="1"/>
        </w:numPr>
      </w:pPr>
      <w:r>
        <w:t xml:space="preserve">Int Port = </w:t>
      </w:r>
      <w:r w:rsidR="003D4837">
        <w:t>“</w:t>
      </w:r>
      <w:r>
        <w:t>25</w:t>
      </w:r>
      <w:r w:rsidR="003D4837">
        <w:t>”</w:t>
      </w:r>
      <w:r>
        <w:t xml:space="preserve">: Port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25. 25 </w:t>
      </w:r>
      <w:proofErr w:type="spellStart"/>
      <w:r>
        <w:t>là</w:t>
      </w:r>
      <w:proofErr w:type="spellEnd"/>
      <w:r>
        <w:t xml:space="preserve"> </w:t>
      </w:r>
      <w:r w:rsidR="003D4837">
        <w:t>port</w:t>
      </w:r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SMTP,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3D4837">
        <w:t>port</w:t>
      </w:r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7B347062" w14:textId="3F10DC8B" w:rsidR="0024657C" w:rsidRDefault="0024657C" w:rsidP="0024657C">
      <w:pPr>
        <w:pStyle w:val="ListParagraph"/>
        <w:numPr>
          <w:ilvl w:val="0"/>
          <w:numId w:val="1"/>
        </w:numPr>
      </w:pPr>
      <w:r>
        <w:t xml:space="preserve">Ext address = “none”: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.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13974D95" w14:textId="012F5BC3" w:rsidR="0024657C" w:rsidRDefault="0024657C" w:rsidP="0024657C">
      <w:pPr>
        <w:pStyle w:val="ListParagraph"/>
        <w:numPr>
          <w:ilvl w:val="0"/>
          <w:numId w:val="1"/>
        </w:numPr>
      </w:pPr>
      <w:r>
        <w:t>Ext port</w:t>
      </w:r>
      <w:r w:rsidR="003D4837">
        <w:t xml:space="preserve"> =</w:t>
      </w:r>
      <w:r>
        <w:t xml:space="preserve"> </w:t>
      </w:r>
      <w:r w:rsidR="003D4837">
        <w:t>“</w:t>
      </w:r>
      <w:r>
        <w:t>None</w:t>
      </w:r>
      <w:r w:rsidR="003D4837">
        <w:t>”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.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344997F0" w14:textId="62160708" w:rsidR="0024657C" w:rsidRDefault="0024657C" w:rsidP="0024657C">
      <w:pPr>
        <w:pStyle w:val="ListParagraph"/>
        <w:numPr>
          <w:ilvl w:val="0"/>
          <w:numId w:val="1"/>
        </w:numPr>
      </w:pPr>
      <w:r>
        <w:t>Action</w:t>
      </w:r>
      <w:r w:rsidR="003D4837">
        <w:t xml:space="preserve"> =</w:t>
      </w:r>
      <w:r>
        <w:t xml:space="preserve"> </w:t>
      </w:r>
      <w:r w:rsidR="003D4837">
        <w:t>“</w:t>
      </w:r>
      <w:r>
        <w:t>allow</w:t>
      </w:r>
      <w:r w:rsidR="003D4837">
        <w:t>”</w:t>
      </w:r>
      <w:r>
        <w:t xml:space="preserve">: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"allow",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39927B1B" w14:textId="2C0C313B" w:rsidR="003D4837" w:rsidRDefault="0024657C" w:rsidP="003D4837">
      <w:pPr>
        <w:pStyle w:val="ListParagraph"/>
        <w:numPr>
          <w:ilvl w:val="0"/>
          <w:numId w:val="1"/>
        </w:numPr>
      </w:pPr>
      <w:r>
        <w:t>Comments</w:t>
      </w:r>
      <w:r w:rsidR="003D4837">
        <w:t xml:space="preserve"> =</w:t>
      </w:r>
      <w:r>
        <w:t xml:space="preserve"> </w:t>
      </w:r>
      <w:r w:rsidR="003D4837">
        <w:t>“</w:t>
      </w:r>
      <w:r>
        <w:t>Allow ingress SMTP packets</w:t>
      </w:r>
      <w:r w:rsidR="003D4837">
        <w:t>”</w:t>
      </w:r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luật</w:t>
      </w:r>
      <w:proofErr w:type="spellEnd"/>
      <w:r w:rsidR="003D4837">
        <w:t>: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SMTP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4AB6E660" w14:textId="478AEB10" w:rsidR="003D4837" w:rsidRDefault="0024657C" w:rsidP="003D4837">
      <w:pPr>
        <w:pStyle w:val="ListParagraph"/>
        <w:numPr>
          <w:ilvl w:val="0"/>
          <w:numId w:val="2"/>
        </w:numPr>
      </w:pPr>
      <w:proofErr w:type="spellStart"/>
      <w:r>
        <w:t>Luật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 w:rsidR="003D4837">
        <w:t>hợp</w:t>
      </w:r>
      <w:proofErr w:type="spellEnd"/>
      <w:r w:rsidR="003D4837">
        <w:t xml:space="preserve"> </w:t>
      </w:r>
      <w:proofErr w:type="spellStart"/>
      <w:r w:rsidR="003D4837"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internal port </w:t>
      </w:r>
      <w:proofErr w:type="spellStart"/>
      <w:r>
        <w:t>là</w:t>
      </w:r>
      <w:proofErr w:type="spellEnd"/>
      <w:r>
        <w:t xml:space="preserve"> 25,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SMTP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57DC2A9B" w14:textId="77777777" w:rsidR="008B511F" w:rsidRDefault="008B511F" w:rsidP="008B511F">
      <w:proofErr w:type="spellStart"/>
      <w:r>
        <w:t>Câu</w:t>
      </w:r>
      <w:proofErr w:type="spellEnd"/>
      <w:r>
        <w:t xml:space="preserve"> 2:</w:t>
      </w:r>
    </w:p>
    <w:p w14:paraId="345B528D" w14:textId="77777777" w:rsidR="008B511F" w:rsidRDefault="008B511F" w:rsidP="008B511F">
      <w:pPr>
        <w:pStyle w:val="ListParagraph"/>
        <w:numPr>
          <w:ilvl w:val="0"/>
          <w:numId w:val="3"/>
        </w:numPr>
      </w:pPr>
      <w:r>
        <w:t xml:space="preserve">Router and packet filter 1: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dmz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596"/>
        <w:gridCol w:w="922"/>
        <w:gridCol w:w="1596"/>
        <w:gridCol w:w="956"/>
        <w:gridCol w:w="1596"/>
        <w:gridCol w:w="3081"/>
      </w:tblGrid>
      <w:tr w:rsidR="008B511F" w14:paraId="6B138C36" w14:textId="77777777" w:rsidTr="00090D3E">
        <w:tc>
          <w:tcPr>
            <w:tcW w:w="1596" w:type="dxa"/>
          </w:tcPr>
          <w:p w14:paraId="2E7AC7B0" w14:textId="77777777" w:rsidR="008B511F" w:rsidRDefault="008B511F" w:rsidP="00090D3E">
            <w:r>
              <w:t xml:space="preserve">Int </w:t>
            </w:r>
            <w:proofErr w:type="spellStart"/>
            <w:r>
              <w:t>addr</w:t>
            </w:r>
            <w:proofErr w:type="spellEnd"/>
          </w:p>
        </w:tc>
        <w:tc>
          <w:tcPr>
            <w:tcW w:w="922" w:type="dxa"/>
          </w:tcPr>
          <w:p w14:paraId="374B63F5" w14:textId="77777777" w:rsidR="008B511F" w:rsidRDefault="008B511F" w:rsidP="00090D3E">
            <w:r>
              <w:t>Int port</w:t>
            </w:r>
          </w:p>
        </w:tc>
        <w:tc>
          <w:tcPr>
            <w:tcW w:w="1596" w:type="dxa"/>
          </w:tcPr>
          <w:p w14:paraId="6246909C" w14:textId="77777777" w:rsidR="008B511F" w:rsidRDefault="008B511F" w:rsidP="00090D3E">
            <w:r>
              <w:t xml:space="preserve">Ext </w:t>
            </w:r>
            <w:proofErr w:type="spellStart"/>
            <w:r>
              <w:t>addr</w:t>
            </w:r>
            <w:proofErr w:type="spellEnd"/>
          </w:p>
        </w:tc>
        <w:tc>
          <w:tcPr>
            <w:tcW w:w="956" w:type="dxa"/>
          </w:tcPr>
          <w:p w14:paraId="48268C02" w14:textId="77777777" w:rsidR="008B511F" w:rsidRDefault="008B511F" w:rsidP="00090D3E">
            <w:r>
              <w:t>Ext port</w:t>
            </w:r>
          </w:p>
        </w:tc>
        <w:tc>
          <w:tcPr>
            <w:tcW w:w="1596" w:type="dxa"/>
          </w:tcPr>
          <w:p w14:paraId="09D612AE" w14:textId="77777777" w:rsidR="008B511F" w:rsidRDefault="008B511F" w:rsidP="00090D3E">
            <w:r>
              <w:t>Action</w:t>
            </w:r>
          </w:p>
        </w:tc>
        <w:tc>
          <w:tcPr>
            <w:tcW w:w="3081" w:type="dxa"/>
          </w:tcPr>
          <w:p w14:paraId="74974A8A" w14:textId="77777777" w:rsidR="008B511F" w:rsidRDefault="008B511F" w:rsidP="00090D3E">
            <w:r>
              <w:t>Comment</w:t>
            </w:r>
          </w:p>
        </w:tc>
      </w:tr>
      <w:tr w:rsidR="008B511F" w14:paraId="3364147D" w14:textId="77777777" w:rsidTr="00090D3E">
        <w:tc>
          <w:tcPr>
            <w:tcW w:w="1596" w:type="dxa"/>
          </w:tcPr>
          <w:p w14:paraId="67F6EC06" w14:textId="77777777" w:rsidR="008B511F" w:rsidRDefault="008B511F" w:rsidP="00090D3E">
            <w:r>
              <w:t>192.63.16.4</w:t>
            </w:r>
          </w:p>
        </w:tc>
        <w:tc>
          <w:tcPr>
            <w:tcW w:w="922" w:type="dxa"/>
          </w:tcPr>
          <w:p w14:paraId="06C99E7D" w14:textId="77777777" w:rsidR="008B511F" w:rsidRDefault="008B511F" w:rsidP="00090D3E">
            <w:r w:rsidRPr="005548B0">
              <w:t>80</w:t>
            </w:r>
            <w:r>
              <w:t xml:space="preserve">, </w:t>
            </w:r>
            <w:r w:rsidRPr="005548B0">
              <w:t>443</w:t>
            </w:r>
          </w:p>
        </w:tc>
        <w:tc>
          <w:tcPr>
            <w:tcW w:w="1596" w:type="dxa"/>
          </w:tcPr>
          <w:p w14:paraId="7FD1E1FF" w14:textId="77777777" w:rsidR="008B511F" w:rsidRDefault="008B511F" w:rsidP="00090D3E">
            <w:r>
              <w:t>*</w:t>
            </w:r>
          </w:p>
        </w:tc>
        <w:tc>
          <w:tcPr>
            <w:tcW w:w="956" w:type="dxa"/>
          </w:tcPr>
          <w:p w14:paraId="31D7E381" w14:textId="77777777" w:rsidR="008B511F" w:rsidRDefault="008B511F" w:rsidP="00090D3E">
            <w:r>
              <w:t>*</w:t>
            </w:r>
          </w:p>
        </w:tc>
        <w:tc>
          <w:tcPr>
            <w:tcW w:w="1596" w:type="dxa"/>
          </w:tcPr>
          <w:p w14:paraId="423FAD0C" w14:textId="77777777" w:rsidR="008B511F" w:rsidRDefault="008B511F" w:rsidP="00090D3E">
            <w:r>
              <w:t>Allow</w:t>
            </w:r>
          </w:p>
        </w:tc>
        <w:tc>
          <w:tcPr>
            <w:tcW w:w="3081" w:type="dxa"/>
          </w:tcPr>
          <w:p w14:paraId="1FDE6F64" w14:textId="77777777" w:rsidR="008B511F" w:rsidRDefault="008B511F" w:rsidP="00090D3E">
            <w:r>
              <w:t>Open internal HTTP/HTTPS port</w:t>
            </w:r>
          </w:p>
        </w:tc>
      </w:tr>
      <w:tr w:rsidR="008B511F" w14:paraId="73BEADEA" w14:textId="77777777" w:rsidTr="00090D3E">
        <w:tc>
          <w:tcPr>
            <w:tcW w:w="1596" w:type="dxa"/>
          </w:tcPr>
          <w:p w14:paraId="2172CBFD" w14:textId="77777777" w:rsidR="008B511F" w:rsidRDefault="008B511F" w:rsidP="00090D3E">
            <w:r>
              <w:t>192.63.16.5</w:t>
            </w:r>
          </w:p>
        </w:tc>
        <w:tc>
          <w:tcPr>
            <w:tcW w:w="922" w:type="dxa"/>
          </w:tcPr>
          <w:p w14:paraId="4C0874D0" w14:textId="77777777" w:rsidR="008B511F" w:rsidRDefault="008B511F" w:rsidP="00090D3E">
            <w:r w:rsidRPr="005548B0">
              <w:t>25</w:t>
            </w:r>
            <w:r>
              <w:t xml:space="preserve">, </w:t>
            </w:r>
            <w:r w:rsidRPr="005548B0">
              <w:t>587</w:t>
            </w:r>
            <w:r>
              <w:t>, 465</w:t>
            </w:r>
          </w:p>
        </w:tc>
        <w:tc>
          <w:tcPr>
            <w:tcW w:w="1596" w:type="dxa"/>
          </w:tcPr>
          <w:p w14:paraId="7B762979" w14:textId="77777777" w:rsidR="008B511F" w:rsidRDefault="008B511F" w:rsidP="00090D3E">
            <w:r>
              <w:t>*</w:t>
            </w:r>
          </w:p>
        </w:tc>
        <w:tc>
          <w:tcPr>
            <w:tcW w:w="956" w:type="dxa"/>
          </w:tcPr>
          <w:p w14:paraId="7F2205F5" w14:textId="77777777" w:rsidR="008B511F" w:rsidRDefault="008B511F" w:rsidP="00090D3E">
            <w:r>
              <w:t>*</w:t>
            </w:r>
          </w:p>
        </w:tc>
        <w:tc>
          <w:tcPr>
            <w:tcW w:w="1596" w:type="dxa"/>
          </w:tcPr>
          <w:p w14:paraId="574B83B6" w14:textId="77777777" w:rsidR="008B511F" w:rsidRDefault="008B511F" w:rsidP="00090D3E">
            <w:r>
              <w:t>Allow</w:t>
            </w:r>
          </w:p>
        </w:tc>
        <w:tc>
          <w:tcPr>
            <w:tcW w:w="3081" w:type="dxa"/>
          </w:tcPr>
          <w:p w14:paraId="0708B2C4" w14:textId="77777777" w:rsidR="008B511F" w:rsidRDefault="008B511F" w:rsidP="00090D3E">
            <w:r>
              <w:t>Open internal SMTP, SMTPs port</w:t>
            </w:r>
          </w:p>
        </w:tc>
      </w:tr>
      <w:tr w:rsidR="008B511F" w14:paraId="75C941F9" w14:textId="77777777" w:rsidTr="00090D3E">
        <w:tc>
          <w:tcPr>
            <w:tcW w:w="1596" w:type="dxa"/>
          </w:tcPr>
          <w:p w14:paraId="7522EA5B" w14:textId="77777777" w:rsidR="008B511F" w:rsidRDefault="008B511F" w:rsidP="00090D3E">
            <w:r>
              <w:t>192.63.16.6</w:t>
            </w:r>
          </w:p>
        </w:tc>
        <w:tc>
          <w:tcPr>
            <w:tcW w:w="922" w:type="dxa"/>
          </w:tcPr>
          <w:p w14:paraId="5785AB1B" w14:textId="77777777" w:rsidR="008B511F" w:rsidRPr="005548B0" w:rsidRDefault="008B511F" w:rsidP="00090D3E">
            <w:r>
              <w:t>*</w:t>
            </w:r>
          </w:p>
        </w:tc>
        <w:tc>
          <w:tcPr>
            <w:tcW w:w="1596" w:type="dxa"/>
          </w:tcPr>
          <w:p w14:paraId="3E020300" w14:textId="77777777" w:rsidR="008B511F" w:rsidRDefault="008B511F" w:rsidP="00090D3E">
            <w:r>
              <w:t>*</w:t>
            </w:r>
          </w:p>
        </w:tc>
        <w:tc>
          <w:tcPr>
            <w:tcW w:w="956" w:type="dxa"/>
          </w:tcPr>
          <w:p w14:paraId="6E39E8D2" w14:textId="77777777" w:rsidR="008B511F" w:rsidRDefault="008B511F" w:rsidP="00090D3E">
            <w:r>
              <w:t>*</w:t>
            </w:r>
          </w:p>
        </w:tc>
        <w:tc>
          <w:tcPr>
            <w:tcW w:w="1596" w:type="dxa"/>
          </w:tcPr>
          <w:p w14:paraId="3EA5A79E" w14:textId="77777777" w:rsidR="008B511F" w:rsidRDefault="008B511F" w:rsidP="00090D3E">
            <w:r>
              <w:t>Allow</w:t>
            </w:r>
          </w:p>
        </w:tc>
        <w:tc>
          <w:tcPr>
            <w:tcW w:w="3081" w:type="dxa"/>
          </w:tcPr>
          <w:p w14:paraId="741C1E74" w14:textId="77777777" w:rsidR="008B511F" w:rsidRDefault="008B511F" w:rsidP="00090D3E">
            <w:r>
              <w:t>Open internal all port</w:t>
            </w:r>
          </w:p>
        </w:tc>
      </w:tr>
      <w:tr w:rsidR="008B511F" w14:paraId="3DBFFD86" w14:textId="77777777" w:rsidTr="00090D3E">
        <w:tc>
          <w:tcPr>
            <w:tcW w:w="1596" w:type="dxa"/>
          </w:tcPr>
          <w:p w14:paraId="44F4D4C8" w14:textId="77777777" w:rsidR="008B511F" w:rsidRDefault="008B511F" w:rsidP="00090D3E">
            <w:r>
              <w:t>*</w:t>
            </w:r>
          </w:p>
        </w:tc>
        <w:tc>
          <w:tcPr>
            <w:tcW w:w="922" w:type="dxa"/>
          </w:tcPr>
          <w:p w14:paraId="7F93E913" w14:textId="77777777" w:rsidR="008B511F" w:rsidRDefault="008B511F" w:rsidP="00090D3E">
            <w:r>
              <w:t>*</w:t>
            </w:r>
          </w:p>
        </w:tc>
        <w:tc>
          <w:tcPr>
            <w:tcW w:w="1596" w:type="dxa"/>
          </w:tcPr>
          <w:p w14:paraId="686177BC" w14:textId="77777777" w:rsidR="008B511F" w:rsidRDefault="008B511F" w:rsidP="00090D3E">
            <w:r>
              <w:t>*</w:t>
            </w:r>
          </w:p>
        </w:tc>
        <w:tc>
          <w:tcPr>
            <w:tcW w:w="956" w:type="dxa"/>
          </w:tcPr>
          <w:p w14:paraId="7E3B4E9F" w14:textId="77777777" w:rsidR="008B511F" w:rsidRDefault="008B511F" w:rsidP="00090D3E">
            <w:r>
              <w:t>*</w:t>
            </w:r>
          </w:p>
        </w:tc>
        <w:tc>
          <w:tcPr>
            <w:tcW w:w="1596" w:type="dxa"/>
          </w:tcPr>
          <w:p w14:paraId="4444161C" w14:textId="77777777" w:rsidR="008B511F" w:rsidRDefault="008B511F" w:rsidP="00090D3E">
            <w:r>
              <w:t>Block</w:t>
            </w:r>
          </w:p>
        </w:tc>
        <w:tc>
          <w:tcPr>
            <w:tcW w:w="3081" w:type="dxa"/>
          </w:tcPr>
          <w:p w14:paraId="0310FCD4" w14:textId="77777777" w:rsidR="008B511F" w:rsidRDefault="008B511F" w:rsidP="00090D3E">
            <w:r>
              <w:t>Block packets from all port</w:t>
            </w:r>
          </w:p>
        </w:tc>
      </w:tr>
    </w:tbl>
    <w:p w14:paraId="096DD37B" w14:textId="77777777" w:rsidR="008B511F" w:rsidRDefault="008B511F" w:rsidP="008B511F">
      <w:pPr>
        <w:pStyle w:val="ListParagraph"/>
        <w:numPr>
          <w:ilvl w:val="0"/>
          <w:numId w:val="3"/>
        </w:numPr>
      </w:pPr>
      <w:r>
        <w:t xml:space="preserve">Router and packet filter 2: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dmz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596"/>
        <w:gridCol w:w="922"/>
        <w:gridCol w:w="1596"/>
        <w:gridCol w:w="956"/>
        <w:gridCol w:w="1596"/>
        <w:gridCol w:w="3081"/>
      </w:tblGrid>
      <w:tr w:rsidR="008B511F" w14:paraId="5CD52C17" w14:textId="77777777" w:rsidTr="00090D3E">
        <w:tc>
          <w:tcPr>
            <w:tcW w:w="1596" w:type="dxa"/>
          </w:tcPr>
          <w:p w14:paraId="5556B8F9" w14:textId="77777777" w:rsidR="008B511F" w:rsidRDefault="008B511F" w:rsidP="00090D3E">
            <w:r>
              <w:t xml:space="preserve">Int </w:t>
            </w:r>
            <w:proofErr w:type="spellStart"/>
            <w:r>
              <w:t>addr</w:t>
            </w:r>
            <w:proofErr w:type="spellEnd"/>
          </w:p>
        </w:tc>
        <w:tc>
          <w:tcPr>
            <w:tcW w:w="922" w:type="dxa"/>
          </w:tcPr>
          <w:p w14:paraId="7B03177F" w14:textId="77777777" w:rsidR="008B511F" w:rsidRDefault="008B511F" w:rsidP="00090D3E">
            <w:r>
              <w:t>Int port</w:t>
            </w:r>
          </w:p>
        </w:tc>
        <w:tc>
          <w:tcPr>
            <w:tcW w:w="1596" w:type="dxa"/>
          </w:tcPr>
          <w:p w14:paraId="40A96AAF" w14:textId="77777777" w:rsidR="008B511F" w:rsidRDefault="008B511F" w:rsidP="00090D3E">
            <w:r>
              <w:t xml:space="preserve">Ext </w:t>
            </w:r>
            <w:proofErr w:type="spellStart"/>
            <w:r>
              <w:t>addr</w:t>
            </w:r>
            <w:proofErr w:type="spellEnd"/>
          </w:p>
        </w:tc>
        <w:tc>
          <w:tcPr>
            <w:tcW w:w="956" w:type="dxa"/>
          </w:tcPr>
          <w:p w14:paraId="3E6E85AE" w14:textId="77777777" w:rsidR="008B511F" w:rsidRDefault="008B511F" w:rsidP="00090D3E">
            <w:r>
              <w:t>Ext port</w:t>
            </w:r>
          </w:p>
        </w:tc>
        <w:tc>
          <w:tcPr>
            <w:tcW w:w="1596" w:type="dxa"/>
          </w:tcPr>
          <w:p w14:paraId="310B3057" w14:textId="77777777" w:rsidR="008B511F" w:rsidRDefault="008B511F" w:rsidP="00090D3E">
            <w:r>
              <w:t>Action</w:t>
            </w:r>
          </w:p>
        </w:tc>
        <w:tc>
          <w:tcPr>
            <w:tcW w:w="3081" w:type="dxa"/>
          </w:tcPr>
          <w:p w14:paraId="154A4210" w14:textId="77777777" w:rsidR="008B511F" w:rsidRDefault="008B511F" w:rsidP="00090D3E">
            <w:r>
              <w:t>Comment</w:t>
            </w:r>
          </w:p>
        </w:tc>
      </w:tr>
      <w:tr w:rsidR="008B511F" w14:paraId="47EF7E3A" w14:textId="77777777" w:rsidTr="00090D3E">
        <w:tc>
          <w:tcPr>
            <w:tcW w:w="1596" w:type="dxa"/>
          </w:tcPr>
          <w:p w14:paraId="790944BF" w14:textId="77777777" w:rsidR="008B511F" w:rsidRDefault="008B511F" w:rsidP="00090D3E">
            <w:r>
              <w:t>192.63.16.4</w:t>
            </w:r>
          </w:p>
        </w:tc>
        <w:tc>
          <w:tcPr>
            <w:tcW w:w="922" w:type="dxa"/>
          </w:tcPr>
          <w:p w14:paraId="739F3DC8" w14:textId="77777777" w:rsidR="008B511F" w:rsidRDefault="008B511F" w:rsidP="00090D3E">
            <w:r w:rsidRPr="005548B0">
              <w:t>80</w:t>
            </w:r>
            <w:r>
              <w:t xml:space="preserve">, </w:t>
            </w:r>
            <w:r w:rsidRPr="005548B0">
              <w:t>443</w:t>
            </w:r>
          </w:p>
        </w:tc>
        <w:tc>
          <w:tcPr>
            <w:tcW w:w="1596" w:type="dxa"/>
          </w:tcPr>
          <w:p w14:paraId="3F121F29" w14:textId="77777777" w:rsidR="008B511F" w:rsidRDefault="008B511F" w:rsidP="00090D3E">
            <w:r>
              <w:t>*</w:t>
            </w:r>
          </w:p>
        </w:tc>
        <w:tc>
          <w:tcPr>
            <w:tcW w:w="956" w:type="dxa"/>
          </w:tcPr>
          <w:p w14:paraId="35424B53" w14:textId="77777777" w:rsidR="008B511F" w:rsidRDefault="008B511F" w:rsidP="00090D3E">
            <w:r>
              <w:t>*</w:t>
            </w:r>
          </w:p>
        </w:tc>
        <w:tc>
          <w:tcPr>
            <w:tcW w:w="1596" w:type="dxa"/>
          </w:tcPr>
          <w:p w14:paraId="4B508A6A" w14:textId="77777777" w:rsidR="008B511F" w:rsidRDefault="008B511F" w:rsidP="00090D3E">
            <w:r>
              <w:t>Allow</w:t>
            </w:r>
          </w:p>
        </w:tc>
        <w:tc>
          <w:tcPr>
            <w:tcW w:w="3081" w:type="dxa"/>
          </w:tcPr>
          <w:p w14:paraId="6BDAE77C" w14:textId="77777777" w:rsidR="008B511F" w:rsidRDefault="008B511F" w:rsidP="00090D3E">
            <w:r>
              <w:t>Open internal HTTP/HTTPS port</w:t>
            </w:r>
          </w:p>
        </w:tc>
      </w:tr>
      <w:tr w:rsidR="008B511F" w14:paraId="21CE85F0" w14:textId="77777777" w:rsidTr="00090D3E">
        <w:tc>
          <w:tcPr>
            <w:tcW w:w="1596" w:type="dxa"/>
          </w:tcPr>
          <w:p w14:paraId="49CA4C6A" w14:textId="77777777" w:rsidR="008B511F" w:rsidRDefault="008B511F" w:rsidP="00090D3E">
            <w:r>
              <w:t>192.63.16.5</w:t>
            </w:r>
          </w:p>
        </w:tc>
        <w:tc>
          <w:tcPr>
            <w:tcW w:w="922" w:type="dxa"/>
          </w:tcPr>
          <w:p w14:paraId="70E25413" w14:textId="77777777" w:rsidR="008B511F" w:rsidRDefault="008B511F" w:rsidP="00090D3E">
            <w:r w:rsidRPr="005548B0">
              <w:t>25</w:t>
            </w:r>
            <w:r>
              <w:t xml:space="preserve">, </w:t>
            </w:r>
            <w:r w:rsidRPr="005548B0">
              <w:t>587</w:t>
            </w:r>
            <w:r>
              <w:t>, 465</w:t>
            </w:r>
          </w:p>
        </w:tc>
        <w:tc>
          <w:tcPr>
            <w:tcW w:w="1596" w:type="dxa"/>
          </w:tcPr>
          <w:p w14:paraId="35C04760" w14:textId="77777777" w:rsidR="008B511F" w:rsidRDefault="008B511F" w:rsidP="00090D3E">
            <w:r>
              <w:t>*</w:t>
            </w:r>
          </w:p>
        </w:tc>
        <w:tc>
          <w:tcPr>
            <w:tcW w:w="956" w:type="dxa"/>
          </w:tcPr>
          <w:p w14:paraId="2C7F0C10" w14:textId="77777777" w:rsidR="008B511F" w:rsidRDefault="008B511F" w:rsidP="00090D3E">
            <w:r>
              <w:t>*</w:t>
            </w:r>
          </w:p>
        </w:tc>
        <w:tc>
          <w:tcPr>
            <w:tcW w:w="1596" w:type="dxa"/>
          </w:tcPr>
          <w:p w14:paraId="20FE81A7" w14:textId="77777777" w:rsidR="008B511F" w:rsidRDefault="008B511F" w:rsidP="00090D3E">
            <w:r>
              <w:t>Allow</w:t>
            </w:r>
          </w:p>
        </w:tc>
        <w:tc>
          <w:tcPr>
            <w:tcW w:w="3081" w:type="dxa"/>
          </w:tcPr>
          <w:p w14:paraId="5EC0B437" w14:textId="77777777" w:rsidR="008B511F" w:rsidRDefault="008B511F" w:rsidP="00090D3E">
            <w:r>
              <w:t>Open internal SMTP, SMTPs port</w:t>
            </w:r>
          </w:p>
        </w:tc>
      </w:tr>
      <w:tr w:rsidR="008B511F" w14:paraId="69ED0E7E" w14:textId="77777777" w:rsidTr="00090D3E">
        <w:tc>
          <w:tcPr>
            <w:tcW w:w="1596" w:type="dxa"/>
          </w:tcPr>
          <w:p w14:paraId="0AF50781" w14:textId="77777777" w:rsidR="008B511F" w:rsidRDefault="008B511F" w:rsidP="00090D3E">
            <w:r>
              <w:t>192.63.16.6</w:t>
            </w:r>
          </w:p>
        </w:tc>
        <w:tc>
          <w:tcPr>
            <w:tcW w:w="922" w:type="dxa"/>
          </w:tcPr>
          <w:p w14:paraId="752DA5FE" w14:textId="77777777" w:rsidR="008B511F" w:rsidRPr="005548B0" w:rsidRDefault="008B511F" w:rsidP="00090D3E">
            <w:r>
              <w:t>*</w:t>
            </w:r>
          </w:p>
        </w:tc>
        <w:tc>
          <w:tcPr>
            <w:tcW w:w="1596" w:type="dxa"/>
          </w:tcPr>
          <w:p w14:paraId="73460213" w14:textId="77777777" w:rsidR="008B511F" w:rsidRDefault="008B511F" w:rsidP="00090D3E">
            <w:r>
              <w:t>*</w:t>
            </w:r>
          </w:p>
        </w:tc>
        <w:tc>
          <w:tcPr>
            <w:tcW w:w="956" w:type="dxa"/>
          </w:tcPr>
          <w:p w14:paraId="5FCA7608" w14:textId="77777777" w:rsidR="008B511F" w:rsidRDefault="008B511F" w:rsidP="00090D3E">
            <w:r>
              <w:t>*</w:t>
            </w:r>
          </w:p>
        </w:tc>
        <w:tc>
          <w:tcPr>
            <w:tcW w:w="1596" w:type="dxa"/>
          </w:tcPr>
          <w:p w14:paraId="751EF6BB" w14:textId="77777777" w:rsidR="008B511F" w:rsidRDefault="008B511F" w:rsidP="00090D3E">
            <w:r>
              <w:t>Allow</w:t>
            </w:r>
          </w:p>
        </w:tc>
        <w:tc>
          <w:tcPr>
            <w:tcW w:w="3081" w:type="dxa"/>
          </w:tcPr>
          <w:p w14:paraId="3FEC5E5E" w14:textId="77777777" w:rsidR="008B511F" w:rsidRDefault="008B511F" w:rsidP="00090D3E">
            <w:r>
              <w:t>Open internal all port</w:t>
            </w:r>
          </w:p>
        </w:tc>
      </w:tr>
      <w:tr w:rsidR="008B511F" w14:paraId="658C81EC" w14:textId="77777777" w:rsidTr="00090D3E">
        <w:tc>
          <w:tcPr>
            <w:tcW w:w="1596" w:type="dxa"/>
          </w:tcPr>
          <w:p w14:paraId="4651E984" w14:textId="77777777" w:rsidR="008B511F" w:rsidRDefault="008B511F" w:rsidP="00090D3E">
            <w:r>
              <w:t>*</w:t>
            </w:r>
          </w:p>
        </w:tc>
        <w:tc>
          <w:tcPr>
            <w:tcW w:w="922" w:type="dxa"/>
          </w:tcPr>
          <w:p w14:paraId="4F783C74" w14:textId="77777777" w:rsidR="008B511F" w:rsidRDefault="008B511F" w:rsidP="00090D3E">
            <w:r>
              <w:t>*</w:t>
            </w:r>
          </w:p>
        </w:tc>
        <w:tc>
          <w:tcPr>
            <w:tcW w:w="1596" w:type="dxa"/>
          </w:tcPr>
          <w:p w14:paraId="52B3FD44" w14:textId="77777777" w:rsidR="008B511F" w:rsidRDefault="008B511F" w:rsidP="00090D3E">
            <w:r>
              <w:t>*</w:t>
            </w:r>
          </w:p>
        </w:tc>
        <w:tc>
          <w:tcPr>
            <w:tcW w:w="956" w:type="dxa"/>
          </w:tcPr>
          <w:p w14:paraId="5E07EC59" w14:textId="77777777" w:rsidR="008B511F" w:rsidRDefault="008B511F" w:rsidP="00090D3E">
            <w:r>
              <w:t>*</w:t>
            </w:r>
          </w:p>
        </w:tc>
        <w:tc>
          <w:tcPr>
            <w:tcW w:w="1596" w:type="dxa"/>
          </w:tcPr>
          <w:p w14:paraId="7102F995" w14:textId="77777777" w:rsidR="008B511F" w:rsidRDefault="008B511F" w:rsidP="00090D3E">
            <w:r>
              <w:t>Block</w:t>
            </w:r>
          </w:p>
        </w:tc>
        <w:tc>
          <w:tcPr>
            <w:tcW w:w="3081" w:type="dxa"/>
          </w:tcPr>
          <w:p w14:paraId="1A2DAE82" w14:textId="77777777" w:rsidR="008B511F" w:rsidRDefault="008B511F" w:rsidP="00090D3E">
            <w:r>
              <w:t>Block packets from all port</w:t>
            </w:r>
          </w:p>
        </w:tc>
      </w:tr>
    </w:tbl>
    <w:p w14:paraId="4F30CD20" w14:textId="77777777" w:rsidR="003D4837" w:rsidRDefault="003D4837" w:rsidP="003D4837"/>
    <w:sectPr w:rsidR="003D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4D7"/>
    <w:multiLevelType w:val="hybridMultilevel"/>
    <w:tmpl w:val="A8D69FE8"/>
    <w:lvl w:ilvl="0" w:tplc="2B303DBC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A477C"/>
    <w:multiLevelType w:val="hybridMultilevel"/>
    <w:tmpl w:val="8F36A0E4"/>
    <w:lvl w:ilvl="0" w:tplc="A552D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33557"/>
    <w:multiLevelType w:val="hybridMultilevel"/>
    <w:tmpl w:val="B2586242"/>
    <w:lvl w:ilvl="0" w:tplc="CE1A44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42795">
    <w:abstractNumId w:val="1"/>
  </w:num>
  <w:num w:numId="2" w16cid:durableId="209613203">
    <w:abstractNumId w:val="2"/>
  </w:num>
  <w:num w:numId="3" w16cid:durableId="121466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57C"/>
    <w:rsid w:val="000A2D44"/>
    <w:rsid w:val="0024657C"/>
    <w:rsid w:val="003D4837"/>
    <w:rsid w:val="008772B0"/>
    <w:rsid w:val="008B511F"/>
    <w:rsid w:val="00A7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4538E"/>
  <w15:chartTrackingRefBased/>
  <w15:docId w15:val="{CFC3764D-955C-4612-9733-C32194C4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Phúc Kiên</dc:creator>
  <cp:keywords/>
  <dc:description/>
  <cp:lastModifiedBy>Đặng Xuân Cường</cp:lastModifiedBy>
  <cp:revision>2</cp:revision>
  <dcterms:created xsi:type="dcterms:W3CDTF">2023-12-15T02:10:00Z</dcterms:created>
  <dcterms:modified xsi:type="dcterms:W3CDTF">2023-12-15T02:40:00Z</dcterms:modified>
</cp:coreProperties>
</file>