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60" w:type="dxa"/>
        <w:jc w:val="left"/>
        <w:tblInd w:w="-252" w:type="dxa"/>
        <w:tblLayout w:type="fixed"/>
        <w:tblCellMar>
          <w:top w:w="0" w:type="dxa"/>
          <w:left w:w="108" w:type="dxa"/>
          <w:bottom w:w="0" w:type="dxa"/>
          <w:right w:w="108" w:type="dxa"/>
        </w:tblCellMar>
      </w:tblPr>
      <w:tblGrid>
        <w:gridCol w:w="4643"/>
        <w:gridCol w:w="5917"/>
      </w:tblGrid>
      <w:tr>
        <w:trPr/>
        <w:tc>
          <w:tcPr>
            <w:tcW w:w="4643" w:type="dxa"/>
            <w:tcBorders/>
          </w:tcPr>
          <w:p>
            <w:pPr>
              <w:pStyle w:val="Normal"/>
              <w:jc w:val="center"/>
              <w:rPr>
                <w:b/>
                <w:bCs/>
              </w:rPr>
            </w:pPr>
            <w:r>
              <w:rPr>
                <w:b/>
                <w:bCs/>
              </w:rPr>
              <w:t>CÔNG TY CỔ PHẦN</w:t>
            </w:r>
          </w:p>
          <w:p>
            <w:pPr>
              <w:pStyle w:val="Normal"/>
              <w:spacing w:before="60" w:after="0"/>
              <w:jc w:val="center"/>
              <w:rPr>
                <w:b/>
                <w:bCs/>
              </w:rPr>
            </w:pPr>
            <w:r>
              <w:rPr>
                <w:b/>
                <w:bCs/>
              </w:rPr>
              <w:t>CẢNG HẢI PHÒNG</w:t>
            </w:r>
          </w:p>
          <w:p>
            <w:pPr>
              <w:pStyle w:val="Normal"/>
              <w:rPr>
                <w:lang w:val="en-US" w:eastAsia="en-US"/>
              </w:rPr>
            </w:pPr>
            <w:r>
              <w:rPr>
                <w:lang w:val="en-US" w:eastAsia="en-US"/>
              </w:rPr>
              <mc:AlternateContent>
                <mc:Choice Requires="wps">
                  <w:drawing>
                    <wp:anchor behindDoc="0" distT="0" distB="0" distL="114935" distR="114935" simplePos="0" locked="0" layoutInCell="1" allowOverlap="1" relativeHeight="3">
                      <wp:simplePos x="0" y="0"/>
                      <wp:positionH relativeFrom="column">
                        <wp:posOffset>1069975</wp:posOffset>
                      </wp:positionH>
                      <wp:positionV relativeFrom="paragraph">
                        <wp:posOffset>33020</wp:posOffset>
                      </wp:positionV>
                      <wp:extent cx="571500" cy="0"/>
                      <wp:effectExtent l="0" t="5080" r="0" b="5080"/>
                      <wp:wrapNone/>
                      <wp:docPr id="1" name=""/>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4.25pt,2.6pt" to="129.2pt,2.6pt" stroked="t" o:allowincell="t" style="position:absolute">
                      <v:stroke color="black" weight="9360" joinstyle="miter" endcap="flat"/>
                      <v:fill o:detectmouseclick="t" on="false"/>
                      <w10:wrap type="none"/>
                    </v:line>
                  </w:pict>
                </mc:Fallback>
              </mc:AlternateContent>
            </w:r>
          </w:p>
          <w:p>
            <w:pPr>
              <w:pStyle w:val="Normal"/>
              <w:jc w:val="center"/>
              <w:rPr>
                <w:rFonts w:ascii=".VnTime;Courier New" w:hAnsi=".VnTime;Courier New" w:cs=".VnTime;Courier New"/>
                <w:sz w:val="28"/>
                <w:szCs w:val="28"/>
              </w:rPr>
            </w:pPr>
            <w:r>
              <w:rPr>
                <w:sz w:val="28"/>
                <w:szCs w:val="28"/>
              </w:rPr>
              <w:t>Số:</w:t>
            </w:r>
            <w:r>
              <w:rPr/>
              <w:t xml:space="preserve">           /HD-CHP</w:t>
            </w:r>
          </w:p>
        </w:tc>
        <w:tc>
          <w:tcPr>
            <w:tcW w:w="5917" w:type="dxa"/>
            <w:tcBorders/>
          </w:tcPr>
          <w:p>
            <w:pPr>
              <w:pStyle w:val="Normal"/>
              <w:jc w:val="center"/>
              <w:rPr>
                <w:b/>
                <w:bCs/>
              </w:rPr>
            </w:pPr>
            <w:r>
              <w:rPr>
                <w:b/>
                <w:bCs/>
              </w:rPr>
              <w:t>CỘNG HÒA XÃ HỘI CHỦ NGHĨA VIỆT NAM</w:t>
            </w:r>
          </w:p>
          <w:p>
            <w:pPr>
              <w:pStyle w:val="Normal"/>
              <w:jc w:val="center"/>
              <w:rPr/>
            </w:pPr>
            <w:r>
              <w:rPr>
                <w:b/>
                <w:bCs/>
                <w:sz w:val="28"/>
                <w:szCs w:val="28"/>
              </w:rPr>
              <w:t>Độc lập - Tự do - Hạnh phúc</w:t>
            </w:r>
            <w:r>
              <w:rPr>
                <w:i/>
                <w:iCs/>
                <w:sz w:val="28"/>
                <w:szCs w:val="28"/>
              </w:rPr>
              <w:t>.</w:t>
            </w:r>
          </w:p>
          <w:p>
            <w:pPr>
              <w:pStyle w:val="Normal"/>
              <w:jc w:val="center"/>
              <w:rPr>
                <w:i/>
                <w:i/>
                <w:iCs/>
                <w:sz w:val="28"/>
                <w:szCs w:val="28"/>
                <w:lang w:val="en-US" w:eastAsia="en-US"/>
              </w:rPr>
            </w:pPr>
            <w:r>
              <w:rPr>
                <w:i/>
                <w:iCs/>
                <w:sz w:val="28"/>
                <w:szCs w:val="28"/>
                <w:lang w:val="en-US" w:eastAsia="en-US"/>
              </w:rPr>
              <mc:AlternateContent>
                <mc:Choice Requires="wps">
                  <w:drawing>
                    <wp:anchor behindDoc="0" distT="0" distB="0" distL="114935" distR="114935" simplePos="0" locked="0" layoutInCell="1" allowOverlap="1" relativeHeight="2">
                      <wp:simplePos x="0" y="0"/>
                      <wp:positionH relativeFrom="column">
                        <wp:posOffset>678815</wp:posOffset>
                      </wp:positionH>
                      <wp:positionV relativeFrom="paragraph">
                        <wp:posOffset>41910</wp:posOffset>
                      </wp:positionV>
                      <wp:extent cx="2171700" cy="0"/>
                      <wp:effectExtent l="0" t="5080" r="0" b="5080"/>
                      <wp:wrapNone/>
                      <wp:docPr id="2" name=""/>
                      <a:graphic xmlns:a="http://schemas.openxmlformats.org/drawingml/2006/main">
                        <a:graphicData uri="http://schemas.microsoft.com/office/word/2010/wordprocessingShape">
                          <wps:wsp>
                            <wps:cNvSpPr/>
                            <wps:spPr>
                              <a:xfrm>
                                <a:off x="0" y="0"/>
                                <a:ext cx="217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3.45pt,3.3pt" to="224.4pt,3.3pt" stroked="t" o:allowincell="t" style="position:absolute">
                      <v:stroke color="black" weight="9360" joinstyle="miter" endcap="flat"/>
                      <v:fill o:detectmouseclick="t" on="false"/>
                      <w10:wrap type="none"/>
                    </v:line>
                  </w:pict>
                </mc:Fallback>
              </mc:AlternateContent>
            </w:r>
          </w:p>
          <w:p>
            <w:pPr>
              <w:pStyle w:val="Normal"/>
              <w:jc w:val="center"/>
              <w:rPr>
                <w:rFonts w:ascii=".VnVogueH;Courier New" w:hAnsi=".VnVogueH;Courier New" w:cs=".VnVogueH;Courier New"/>
                <w:b/>
              </w:rPr>
            </w:pPr>
            <w:r>
              <w:rPr>
                <w:i/>
                <w:iCs/>
                <w:sz w:val="28"/>
                <w:szCs w:val="28"/>
              </w:rPr>
              <w:t>Hải Phòng, ngày       tháng 07 năm 2023</w:t>
            </w:r>
          </w:p>
        </w:tc>
      </w:tr>
    </w:tbl>
    <w:p>
      <w:pPr>
        <w:pStyle w:val="Normal"/>
        <w:keepNext w:val="true"/>
        <w:numPr>
          <w:ilvl w:val="0"/>
          <w:numId w:val="0"/>
        </w:numPr>
        <w:ind w:right="-125"/>
        <w:jc w:val="center"/>
        <w:outlineLvl w:val="2"/>
        <w:rPr>
          <w:b/>
          <w:bCs/>
          <w:sz w:val="32"/>
          <w:szCs w:val="32"/>
        </w:rPr>
      </w:pPr>
      <w:r>
        <w:rPr>
          <w:b/>
          <w:bCs/>
          <w:sz w:val="32"/>
          <w:szCs w:val="32"/>
        </w:rPr>
      </w:r>
    </w:p>
    <w:p>
      <w:pPr>
        <w:pStyle w:val="Normal"/>
        <w:keepNext w:val="true"/>
        <w:numPr>
          <w:ilvl w:val="0"/>
          <w:numId w:val="0"/>
        </w:numPr>
        <w:ind w:right="-125"/>
        <w:jc w:val="center"/>
        <w:outlineLvl w:val="2"/>
        <w:rPr>
          <w:b/>
          <w:bCs/>
          <w:sz w:val="32"/>
          <w:szCs w:val="32"/>
        </w:rPr>
      </w:pPr>
      <w:r>
        <w:rPr>
          <w:b/>
          <w:bCs/>
          <w:sz w:val="32"/>
          <w:szCs w:val="32"/>
        </w:rPr>
        <w:t>HƯỚNG DẪN</w:t>
      </w:r>
    </w:p>
    <w:p>
      <w:pPr>
        <w:pStyle w:val="Normal"/>
        <w:ind w:right="-125"/>
        <w:jc w:val="center"/>
        <w:rPr>
          <w:b/>
          <w:bCs/>
          <w:sz w:val="27"/>
          <w:szCs w:val="27"/>
        </w:rPr>
      </w:pPr>
      <w:r>
        <w:rPr>
          <w:b/>
          <w:bCs/>
          <w:sz w:val="27"/>
          <w:szCs w:val="27"/>
        </w:rPr>
        <w:t>XÂY DỰNG, BAN HÀNH CÁC QUY TRÌNH NGHIỆP VỤ</w:t>
      </w:r>
    </w:p>
    <w:p>
      <w:pPr>
        <w:pStyle w:val="Normal"/>
        <w:ind w:right="-125"/>
        <w:jc w:val="center"/>
        <w:rPr/>
      </w:pPr>
      <w:r>
        <w:rPr>
          <w:b/>
          <w:bCs/>
          <w:sz w:val="27"/>
          <w:szCs w:val="27"/>
        </w:rPr>
        <w:t xml:space="preserve">THEO QUY ĐỊNH HỆ THỐNG QUẢN LÝ CHẤT LƯỢNG ISO 9000 </w:t>
      </w:r>
    </w:p>
    <w:p>
      <w:pPr>
        <w:pStyle w:val="Normal"/>
        <w:ind w:right="-125"/>
        <w:jc w:val="center"/>
        <w:rPr>
          <w:b/>
          <w:bCs/>
          <w:sz w:val="27"/>
          <w:szCs w:val="27"/>
        </w:rPr>
      </w:pPr>
      <w:r>
        <w:rPr>
          <w:b/>
          <w:bCs/>
          <w:sz w:val="27"/>
          <w:szCs w:val="27"/>
        </w:rPr>
        <w:t>VÀ TIÊU CHUẨN SOP</w:t>
      </w:r>
    </w:p>
    <w:p>
      <w:pPr>
        <w:pStyle w:val="Normal"/>
        <w:ind w:hanging="142" w:right="-125"/>
        <w:jc w:val="center"/>
        <w:rPr>
          <w:rFonts w:ascii=".VnArial NarrowH;Courier New" w:hAnsi=".VnArial NarrowH;Courier New" w:cs=".VnArial NarrowH;Courier New"/>
          <w:b/>
          <w:bCs/>
          <w:sz w:val="28"/>
          <w:szCs w:val="28"/>
        </w:rPr>
      </w:pPr>
      <w:r>
        <w:rPr>
          <w:rFonts w:cs=".VnArial NarrowH;Courier New" w:ascii=".VnArial NarrowH;Courier New" w:hAnsi=".VnArial NarrowH;Courier New"/>
          <w:b/>
          <w:bCs/>
          <w:sz w:val="28"/>
          <w:szCs w:val="28"/>
        </w:rPr>
      </w:r>
    </w:p>
    <w:p>
      <w:pPr>
        <w:pStyle w:val="Normal"/>
        <w:spacing w:before="60" w:after="0"/>
        <w:ind w:hanging="142" w:right="-125"/>
        <w:rPr/>
      </w:pPr>
      <w:r>
        <w:rPr>
          <w:sz w:val="28"/>
          <w:szCs w:val="28"/>
        </w:rPr>
        <w:t xml:space="preserve">               </w:t>
      </w:r>
      <w:r>
        <w:rPr>
          <w:sz w:val="28"/>
          <w:szCs w:val="28"/>
        </w:rPr>
        <w:t xml:space="preserve">Kính gửi:  </w:t>
      </w:r>
    </w:p>
    <w:p>
      <w:pPr>
        <w:pStyle w:val="Normal"/>
        <w:spacing w:before="60" w:after="0"/>
        <w:ind w:firstLine="2040" w:right="-125"/>
        <w:rPr>
          <w:sz w:val="28"/>
          <w:szCs w:val="28"/>
        </w:rPr>
      </w:pPr>
      <w:r>
        <w:rPr>
          <w:sz w:val="28"/>
          <w:szCs w:val="28"/>
        </w:rPr>
        <w:t>- Các chi nhánh, phòng ban toàn Cảng Hải Phòng</w:t>
      </w:r>
    </w:p>
    <w:p>
      <w:pPr>
        <w:pStyle w:val="Normal"/>
        <w:spacing w:before="60" w:after="0"/>
        <w:ind w:firstLine="2040" w:right="-125"/>
        <w:rPr>
          <w:sz w:val="28"/>
          <w:szCs w:val="28"/>
        </w:rPr>
      </w:pPr>
      <w:r>
        <w:rPr>
          <w:sz w:val="28"/>
          <w:szCs w:val="28"/>
        </w:rPr>
        <w:t>- Công ty TNHH MTV Cảng Hoàng Diệu</w:t>
      </w:r>
    </w:p>
    <w:p>
      <w:pPr>
        <w:pStyle w:val="Normal"/>
        <w:spacing w:before="60" w:after="0"/>
        <w:ind w:firstLine="2040" w:right="-125"/>
        <w:rPr>
          <w:sz w:val="28"/>
          <w:szCs w:val="28"/>
        </w:rPr>
      </w:pPr>
      <w:r>
        <w:rPr>
          <w:sz w:val="28"/>
          <w:szCs w:val="28"/>
        </w:rPr>
        <w:t>- Công ty TNHH MTV trường KTNV Cảng Hải Phòng</w:t>
      </w:r>
    </w:p>
    <w:p>
      <w:pPr>
        <w:pStyle w:val="Normal"/>
        <w:spacing w:before="60" w:after="0"/>
        <w:ind w:firstLine="2040" w:right="-125"/>
        <w:rPr>
          <w:sz w:val="28"/>
          <w:szCs w:val="28"/>
        </w:rPr>
      </w:pPr>
      <w:r>
        <w:rPr>
          <w:sz w:val="28"/>
          <w:szCs w:val="28"/>
        </w:rPr>
        <w:t>- Công ty TNHH MTV trung tâm y tế Cảng Hải Phòng</w:t>
      </w:r>
    </w:p>
    <w:p>
      <w:pPr>
        <w:pStyle w:val="Normal"/>
        <w:jc w:val="center"/>
        <w:rPr>
          <w:b/>
          <w:bCs/>
          <w:sz w:val="32"/>
          <w:szCs w:val="32"/>
        </w:rPr>
      </w:pPr>
      <w:r>
        <w:rPr>
          <w:b/>
          <w:bCs/>
          <w:sz w:val="32"/>
          <w:szCs w:val="32"/>
        </w:rPr>
      </w:r>
    </w:p>
    <w:p>
      <w:pPr>
        <w:pStyle w:val="Normal"/>
        <w:spacing w:before="240" w:after="0"/>
        <w:ind w:firstLine="425" w:right="-20"/>
        <w:jc w:val="both"/>
        <w:rPr>
          <w:sz w:val="28"/>
          <w:szCs w:val="28"/>
        </w:rPr>
      </w:pPr>
      <w:r>
        <w:rPr>
          <w:sz w:val="28"/>
          <w:szCs w:val="28"/>
        </w:rPr>
        <w:tab/>
        <w:t>- Căn cứ Quy chế xây dựng và ban hành các văn bản quy phạm nội bộ của Công ty cổ phần Cảng Hải Phòng ban hành kèm theo Quyết định số 2076/QĐ-CHP ngày 04/7/2023 của Hội đồng quản trị Công ty.</w:t>
      </w:r>
    </w:p>
    <w:p>
      <w:pPr>
        <w:pStyle w:val="Normal"/>
        <w:spacing w:before="240" w:after="0"/>
        <w:ind w:firstLine="425" w:right="-20"/>
        <w:jc w:val="both"/>
        <w:rPr/>
      </w:pPr>
      <w:r>
        <w:rPr>
          <w:sz w:val="28"/>
          <w:szCs w:val="28"/>
        </w:rPr>
        <w:tab/>
      </w:r>
      <w:r>
        <w:rPr>
          <w:sz w:val="28"/>
          <w:szCs w:val="28"/>
          <w:lang w:val="vi-VN"/>
        </w:rPr>
        <w:t xml:space="preserve">- </w:t>
      </w:r>
      <w:r>
        <w:rPr>
          <w:sz w:val="28"/>
          <w:szCs w:val="28"/>
        </w:rPr>
        <w:t>Căn cứ Thông báo số 2180/TB-CHP ngày 12/7/2023 của Tổng giám đốc Cảng Hải Phòng về việc triển khai thực hiện kế hoạch sửa đổi, bổ sung và ban hành mới các văn bản Quy phạm nội bộ năm 2023.</w:t>
      </w:r>
    </w:p>
    <w:p>
      <w:pPr>
        <w:pStyle w:val="Normal"/>
        <w:spacing w:before="240" w:after="0"/>
        <w:ind w:firstLine="425" w:right="3"/>
        <w:jc w:val="both"/>
        <w:rPr/>
      </w:pPr>
      <w:r>
        <w:rPr>
          <w:sz w:val="28"/>
          <w:szCs w:val="28"/>
        </w:rPr>
        <w:tab/>
      </w:r>
      <w:r>
        <w:rPr>
          <w:sz w:val="28"/>
          <w:szCs w:val="28"/>
          <w:lang w:val="vi-VN"/>
        </w:rPr>
        <w:t xml:space="preserve">- </w:t>
      </w:r>
      <w:r>
        <w:rPr>
          <w:sz w:val="28"/>
          <w:szCs w:val="28"/>
        </w:rPr>
        <w:t>Căn cứ Tiêu chuẩn ISO 9001:2015, căn cứ tài liệu hướng dẫn chuẩn hóa và Kazen quy trình của Tổng công ty Hàng hải Việt Nam.</w:t>
      </w:r>
    </w:p>
    <w:p>
      <w:pPr>
        <w:pStyle w:val="Normal"/>
        <w:spacing w:before="240" w:after="0"/>
        <w:ind w:firstLine="425" w:right="-20"/>
        <w:jc w:val="both"/>
        <w:rPr/>
      </w:pPr>
      <w:r>
        <w:rPr>
          <w:sz w:val="28"/>
          <w:szCs w:val="28"/>
        </w:rPr>
        <w:tab/>
        <w:t xml:space="preserve">Ban chỉ đạo ISO công ty hướng dẫn xây dựng, ban hành các quy trình nghiệp vụ theo quy định của Hệ thống quản lý chất lượng ISO 9000 và theo tiêu chuẩn SOP thống nhất trong toàn công ty như sau: </w:t>
      </w:r>
    </w:p>
    <w:p>
      <w:pPr>
        <w:pStyle w:val="Normal"/>
        <w:spacing w:before="240" w:after="0"/>
        <w:ind w:right="-20"/>
        <w:jc w:val="both"/>
        <w:rPr>
          <w:sz w:val="28"/>
          <w:szCs w:val="28"/>
          <w:lang w:val="vi-VN"/>
        </w:rPr>
      </w:pPr>
      <w:r>
        <w:rPr>
          <w:sz w:val="28"/>
          <w:szCs w:val="28"/>
        </w:rPr>
        <w:tab/>
        <w:t>1. Quy trình</w:t>
      </w:r>
      <w:r>
        <w:rPr>
          <w:sz w:val="28"/>
          <w:szCs w:val="28"/>
          <w:lang w:val="vi-VN"/>
        </w:rPr>
        <w:t xml:space="preserve"> thao tác</w:t>
      </w:r>
      <w:r>
        <w:rPr>
          <w:sz w:val="28"/>
          <w:szCs w:val="28"/>
        </w:rPr>
        <w:t xml:space="preserve"> chuẩn</w:t>
      </w:r>
      <w:r>
        <w:rPr>
          <w:sz w:val="28"/>
          <w:szCs w:val="28"/>
          <w:lang w:val="vi-VN"/>
        </w:rPr>
        <w:t xml:space="preserve"> (SOP – Standard Operating Proedure)</w:t>
      </w:r>
    </w:p>
    <w:p>
      <w:pPr>
        <w:pStyle w:val="Normal"/>
        <w:spacing w:before="240" w:after="0"/>
        <w:ind w:firstLine="425" w:right="-20"/>
        <w:jc w:val="both"/>
        <w:rPr>
          <w:sz w:val="28"/>
          <w:szCs w:val="28"/>
          <w:lang w:val="vi-VN"/>
        </w:rPr>
      </w:pPr>
      <w:r>
        <w:rPr>
          <w:sz w:val="28"/>
          <w:szCs w:val="28"/>
          <w:lang w:val="vi-VN"/>
        </w:rPr>
        <w:tab/>
        <w:t xml:space="preserve">a. Định nghĩa: </w:t>
      </w:r>
    </w:p>
    <w:p>
      <w:pPr>
        <w:pStyle w:val="Normal"/>
        <w:spacing w:before="240" w:after="0"/>
        <w:ind w:firstLine="425" w:right="-20"/>
        <w:jc w:val="both"/>
        <w:rPr/>
      </w:pPr>
      <w:r>
        <w:rPr>
          <w:sz w:val="28"/>
          <w:szCs w:val="28"/>
          <w:lang w:val="vi-VN"/>
        </w:rPr>
        <w:tab/>
        <w:t>Quy trình là trình tự gồm nhiều bước hoạt động liên kết với nhau để thực hiện một công việc nhằm đem lại giá trị cho khách hàng.</w:t>
      </w:r>
    </w:p>
    <w:p>
      <w:pPr>
        <w:pStyle w:val="Normal"/>
        <w:spacing w:before="240" w:after="0"/>
        <w:ind w:firstLine="425" w:right="-20"/>
        <w:jc w:val="both"/>
        <w:rPr>
          <w:sz w:val="28"/>
          <w:szCs w:val="28"/>
        </w:rPr>
      </w:pPr>
      <w:r>
        <w:rPr>
          <w:sz w:val="28"/>
          <w:szCs w:val="28"/>
          <w:lang w:val="vi-VN"/>
        </w:rPr>
        <w:tab/>
        <w:t>H</w:t>
      </w:r>
      <w:r>
        <w:rPr>
          <w:sz w:val="28"/>
          <w:szCs w:val="28"/>
        </w:rPr>
        <w:t>ệ thống quy trình</w:t>
      </w:r>
      <w:r>
        <w:rPr>
          <w:sz w:val="28"/>
          <w:szCs w:val="28"/>
          <w:lang w:val="vi-VN"/>
        </w:rPr>
        <w:t xml:space="preserve"> thao tác chuẩn SOP </w:t>
      </w:r>
      <w:r>
        <w:rPr>
          <w:sz w:val="28"/>
          <w:szCs w:val="28"/>
        </w:rPr>
        <w:t>được xây dựng với mục đích</w:t>
      </w:r>
      <w:r>
        <w:rPr>
          <w:sz w:val="28"/>
          <w:szCs w:val="28"/>
          <w:lang w:val="vi-VN"/>
        </w:rPr>
        <w:t xml:space="preserve"> đào tạo và hướng dẫn thực hiện tác nghiệp được chuẩn hóa trong hoạt động sản xuất kinh doanh toàn VIMC.</w:t>
      </w:r>
    </w:p>
    <w:p>
      <w:pPr>
        <w:pStyle w:val="Normal"/>
        <w:spacing w:before="240" w:after="0"/>
        <w:ind w:firstLine="425" w:right="-20"/>
        <w:jc w:val="both"/>
        <w:rPr>
          <w:sz w:val="28"/>
          <w:szCs w:val="28"/>
        </w:rPr>
      </w:pPr>
      <w:r>
        <w:rPr>
          <w:sz w:val="28"/>
          <w:szCs w:val="28"/>
        </w:rPr>
        <w:tab/>
      </w:r>
      <w:r>
        <w:rPr>
          <w:sz w:val="28"/>
          <w:szCs w:val="28"/>
          <w:lang w:val="vi-VN"/>
        </w:rPr>
        <w:t xml:space="preserve">c. Mục tiêu: </w:t>
      </w:r>
      <w:r>
        <w:rPr>
          <w:sz w:val="28"/>
          <w:szCs w:val="28"/>
        </w:rPr>
        <w:t xml:space="preserve">áp dụng SOP </w:t>
      </w:r>
      <w:r>
        <w:rPr>
          <w:sz w:val="28"/>
          <w:szCs w:val="28"/>
          <w:lang w:val="vi-VN"/>
        </w:rPr>
        <w:t xml:space="preserve">giúp chuẩn hóa các tác nghiệp, </w:t>
      </w:r>
      <w:r>
        <w:rPr>
          <w:sz w:val="28"/>
          <w:szCs w:val="28"/>
        </w:rPr>
        <w:t xml:space="preserve">hạn chế tối đa sai </w:t>
      </w:r>
      <w:r>
        <w:rPr>
          <w:sz w:val="28"/>
          <w:szCs w:val="28"/>
          <w:lang w:val="vi-VN"/>
        </w:rPr>
        <w:t>sót tiến tới nâng cao năng suất và chất lượng, đ</w:t>
      </w:r>
      <w:r>
        <w:rPr>
          <w:sz w:val="28"/>
          <w:szCs w:val="28"/>
        </w:rPr>
        <w:t xml:space="preserve">ồng thời, SOP cũng </w:t>
      </w:r>
      <w:r>
        <w:rPr>
          <w:sz w:val="28"/>
          <w:szCs w:val="28"/>
          <w:lang w:val="vi-VN"/>
        </w:rPr>
        <w:t>là tài liệu đào tạo giú</w:t>
      </w:r>
      <w:r>
        <w:rPr>
          <w:sz w:val="28"/>
          <w:szCs w:val="28"/>
        </w:rPr>
        <w:t>p</w:t>
      </w:r>
      <w:r>
        <w:rPr>
          <w:sz w:val="28"/>
          <w:szCs w:val="28"/>
          <w:lang w:val="vi-VN"/>
        </w:rPr>
        <w:t xml:space="preserve"> cho người lao động</w:t>
      </w:r>
      <w:r>
        <w:rPr>
          <w:sz w:val="28"/>
          <w:szCs w:val="28"/>
        </w:rPr>
        <w:t xml:space="preserve"> </w:t>
      </w:r>
      <w:r>
        <w:rPr>
          <w:sz w:val="28"/>
          <w:szCs w:val="28"/>
          <w:lang w:val="vi-VN"/>
        </w:rPr>
        <w:t>làm việc an toàn, hiệu quả hơn,</w:t>
      </w:r>
      <w:r>
        <w:rPr>
          <w:sz w:val="28"/>
          <w:szCs w:val="28"/>
        </w:rPr>
        <w:t xml:space="preserve"> giúp người mới có thể làm quen và bắt nhịp nhanh hơn với công việc. </w:t>
      </w:r>
    </w:p>
    <w:p>
      <w:pPr>
        <w:pStyle w:val="Normal"/>
        <w:spacing w:before="240" w:after="0"/>
        <w:ind w:firstLine="425" w:right="-20"/>
        <w:jc w:val="both"/>
        <w:rPr/>
      </w:pPr>
      <w:r>
        <w:rPr>
          <w:sz w:val="28"/>
          <w:szCs w:val="28"/>
        </w:rPr>
        <w:tab/>
      </w:r>
      <w:r>
        <w:rPr>
          <w:sz w:val="28"/>
          <w:szCs w:val="28"/>
          <w:lang w:val="vi-VN"/>
        </w:rPr>
        <w:t xml:space="preserve">d. Cấu trúc của </w:t>
      </w:r>
      <w:r>
        <w:rPr>
          <w:sz w:val="28"/>
          <w:szCs w:val="28"/>
        </w:rPr>
        <w:t>SOP</w:t>
      </w:r>
      <w:r>
        <w:rPr>
          <w:sz w:val="28"/>
          <w:szCs w:val="28"/>
          <w:lang w:val="vi-VN"/>
        </w:rPr>
        <w:t xml:space="preserve"> </w:t>
      </w:r>
      <w:r>
        <w:rPr>
          <w:sz w:val="28"/>
          <w:szCs w:val="28"/>
        </w:rPr>
        <w:t xml:space="preserve">bao gồm các </w:t>
      </w:r>
      <w:r>
        <w:rPr>
          <w:sz w:val="28"/>
          <w:szCs w:val="28"/>
          <w:lang w:val="vi-VN"/>
        </w:rPr>
        <w:t>nội dung</w:t>
      </w:r>
      <w:r>
        <w:rPr>
          <w:sz w:val="28"/>
          <w:szCs w:val="28"/>
        </w:rPr>
        <w:t xml:space="preserve"> sau:</w:t>
      </w:r>
    </w:p>
    <w:p>
      <w:pPr>
        <w:pStyle w:val="Normal"/>
        <w:spacing w:before="240" w:after="0"/>
        <w:ind w:firstLine="425" w:right="-20"/>
        <w:jc w:val="both"/>
        <w:rPr/>
      </w:pPr>
      <w:r>
        <w:rPr>
          <w:sz w:val="28"/>
          <w:szCs w:val="28"/>
        </w:rPr>
        <w:tab/>
        <w:t xml:space="preserve">- Mục tiêu: </w:t>
      </w:r>
      <w:r>
        <w:rPr>
          <w:sz w:val="28"/>
          <w:szCs w:val="28"/>
          <w:lang w:val="vi-VN"/>
        </w:rPr>
        <w:t xml:space="preserve">để đảm bảo tính tuân thủ và đáp ứng yêu cầu của khách hàng về chất lượng đầu ra của </w:t>
      </w:r>
      <w:r>
        <w:rPr>
          <w:sz w:val="28"/>
          <w:szCs w:val="28"/>
        </w:rPr>
        <w:t>quy trình.</w:t>
      </w:r>
    </w:p>
    <w:p>
      <w:pPr>
        <w:pStyle w:val="Normal"/>
        <w:spacing w:before="240" w:after="0"/>
        <w:ind w:firstLine="425" w:right="-20"/>
        <w:jc w:val="both"/>
        <w:rPr>
          <w:sz w:val="28"/>
          <w:szCs w:val="28"/>
          <w:lang w:val="vi-VN"/>
        </w:rPr>
      </w:pPr>
      <w:r>
        <w:rPr>
          <w:sz w:val="28"/>
          <w:szCs w:val="28"/>
        </w:rPr>
        <w:tab/>
        <w:t>- Phạm vi</w:t>
      </w:r>
      <w:r>
        <w:rPr>
          <w:sz w:val="28"/>
          <w:szCs w:val="28"/>
          <w:lang w:val="vi-VN"/>
        </w:rPr>
        <w:t xml:space="preserve"> và đối tượng áp dụng.</w:t>
      </w:r>
    </w:p>
    <w:p>
      <w:pPr>
        <w:pStyle w:val="Normal"/>
        <w:spacing w:before="240" w:after="0"/>
        <w:ind w:firstLine="425" w:right="-20"/>
        <w:jc w:val="both"/>
        <w:rPr>
          <w:sz w:val="28"/>
          <w:szCs w:val="28"/>
          <w:lang w:val="vi-VN"/>
        </w:rPr>
      </w:pPr>
      <w:r>
        <w:rPr>
          <w:sz w:val="28"/>
          <w:szCs w:val="28"/>
          <w:lang w:val="vi-VN"/>
        </w:rPr>
        <w:tab/>
        <w:t>- Tài liệu liên quan: các tài liệu làm căn cứ, tham khảo, viện dẫn...</w:t>
      </w:r>
    </w:p>
    <w:p>
      <w:pPr>
        <w:pStyle w:val="Normal"/>
        <w:spacing w:before="240" w:after="0"/>
        <w:ind w:firstLine="425" w:right="-20"/>
        <w:jc w:val="both"/>
        <w:rPr>
          <w:sz w:val="28"/>
          <w:szCs w:val="28"/>
          <w:lang w:val="vi-VN"/>
        </w:rPr>
      </w:pPr>
      <w:r>
        <w:rPr>
          <w:sz w:val="28"/>
          <w:szCs w:val="28"/>
          <w:lang w:val="vi-VN"/>
        </w:rPr>
        <w:tab/>
        <w:t>- Chú thích: thuật ngữ và biểu tượng sử dụng trong quy trình.</w:t>
      </w:r>
    </w:p>
    <w:p>
      <w:pPr>
        <w:pStyle w:val="Normal"/>
        <w:spacing w:before="240" w:after="0"/>
        <w:ind w:firstLine="425" w:right="-20"/>
        <w:jc w:val="both"/>
        <w:rPr>
          <w:sz w:val="28"/>
          <w:szCs w:val="28"/>
          <w:lang w:val="vi-VN"/>
        </w:rPr>
      </w:pPr>
      <w:r>
        <w:rPr>
          <w:sz w:val="28"/>
          <w:szCs w:val="28"/>
          <w:lang w:val="vi-VN"/>
        </w:rPr>
        <w:tab/>
        <w:t>- Nội dung: gồm lưu đồ và diễn giải nội dung các bước thực hiện.</w:t>
      </w:r>
    </w:p>
    <w:p>
      <w:pPr>
        <w:pStyle w:val="Normal"/>
        <w:spacing w:before="240" w:after="0"/>
        <w:ind w:firstLine="425" w:right="-20"/>
        <w:jc w:val="both"/>
        <w:rPr/>
      </w:pPr>
      <w:r>
        <w:rPr>
          <w:sz w:val="28"/>
          <w:szCs w:val="28"/>
          <w:lang w:val="vi-VN"/>
        </w:rPr>
        <w:tab/>
        <w:t>- RACI &amp; KPI: mô tả trách nhiệm của từng người có liên quan trong mỗi bước của quy trình và các chỉ tiêu đo lường chất lượng kết quả thực hiện của từng bước.</w:t>
      </w:r>
    </w:p>
    <w:p>
      <w:pPr>
        <w:pStyle w:val="Normal"/>
        <w:spacing w:before="240" w:after="0"/>
        <w:ind w:firstLine="425" w:right="-20"/>
        <w:jc w:val="both"/>
        <w:rPr/>
      </w:pPr>
      <w:r>
        <w:rPr>
          <w:sz w:val="28"/>
          <w:szCs w:val="28"/>
          <w:lang w:val="vi-VN"/>
        </w:rPr>
        <w:tab/>
        <w:t>- Rủi ro &amp; Kiểm soát: các mối nguy, rủi ro và các biện pháp kiểm soát tại mỗi bước của quy trình.</w:t>
      </w:r>
    </w:p>
    <w:p>
      <w:pPr>
        <w:pStyle w:val="Normal"/>
        <w:spacing w:before="240" w:after="0"/>
        <w:ind w:firstLine="425" w:right="-20"/>
        <w:jc w:val="both"/>
        <w:rPr/>
      </w:pPr>
      <w:r>
        <w:rPr>
          <w:sz w:val="28"/>
          <w:szCs w:val="28"/>
          <w:lang w:val="vi-VN"/>
        </w:rPr>
        <w:tab/>
        <w:t>- Hồ sơ lưu: các hồ sơ cần lưu sau khi kết thúc quy trình.</w:t>
      </w:r>
    </w:p>
    <w:p>
      <w:pPr>
        <w:pStyle w:val="Normal"/>
        <w:spacing w:before="240" w:after="0"/>
        <w:ind w:firstLine="425" w:right="-20"/>
        <w:jc w:val="both"/>
        <w:rPr>
          <w:sz w:val="28"/>
          <w:szCs w:val="28"/>
          <w:lang w:val="vi-VN"/>
        </w:rPr>
      </w:pPr>
      <w:r>
        <w:rPr>
          <w:sz w:val="28"/>
          <w:szCs w:val="28"/>
          <w:lang w:val="vi-VN"/>
        </w:rPr>
        <w:tab/>
        <w:t>- Biểu mẫu: các biểu mẫu đi kèm với quy trình.</w:t>
      </w:r>
    </w:p>
    <w:p>
      <w:pPr>
        <w:pStyle w:val="Normal"/>
        <w:spacing w:before="240" w:after="0"/>
        <w:ind w:firstLine="425" w:right="-20"/>
        <w:jc w:val="both"/>
        <w:rPr/>
      </w:pPr>
      <w:r>
        <w:rPr>
          <w:sz w:val="28"/>
          <w:szCs w:val="28"/>
          <w:lang w:val="vi-VN"/>
        </w:rPr>
        <w:tab/>
        <w:t>- Phụ lục &amp; Hướng dẫn.</w:t>
      </w:r>
    </w:p>
    <w:p>
      <w:pPr>
        <w:pStyle w:val="Normal"/>
        <w:spacing w:before="240" w:after="0"/>
        <w:ind w:firstLine="425" w:right="-20"/>
        <w:jc w:val="both"/>
        <w:rPr>
          <w:sz w:val="28"/>
          <w:szCs w:val="28"/>
          <w:lang w:val="vi-VN"/>
        </w:rPr>
      </w:pPr>
      <w:r>
        <w:rPr>
          <w:sz w:val="28"/>
          <w:szCs w:val="28"/>
          <w:lang w:val="vi-VN"/>
        </w:rPr>
        <w:tab/>
        <w:t xml:space="preserve">2. Bộ quy trình ISO. </w:t>
      </w:r>
    </w:p>
    <w:p>
      <w:pPr>
        <w:pStyle w:val="Normal"/>
        <w:spacing w:before="240" w:after="0"/>
        <w:ind w:firstLine="425" w:right="-20"/>
        <w:jc w:val="both"/>
        <w:rPr/>
      </w:pPr>
      <w:r>
        <w:rPr>
          <w:sz w:val="28"/>
          <w:szCs w:val="28"/>
          <w:lang w:val="vi-VN"/>
        </w:rPr>
        <w:tab/>
        <w:t>a. Định nghĩa: Bộ Quy trình ISO (International Organization for Standardization) là một hệ thống các quy trình và tiêu chuẩn được xác định bởi tổ chức ISO để hỗ trợ các doanh nghiệp và tổ chức trong việc quản lý chất lượng, an toàn, môi trường và hiệu quả hoạt động. ISO đảm bảo rằng các sản phẩm và dịch vụ được cung cấp đáp ứng các tiêu chuẩn chất lượng quốc tế.</w:t>
      </w:r>
    </w:p>
    <w:p>
      <w:pPr>
        <w:pStyle w:val="Normal"/>
        <w:spacing w:before="240" w:after="0"/>
        <w:ind w:firstLine="425" w:right="-20"/>
        <w:jc w:val="both"/>
        <w:rPr/>
      </w:pPr>
      <w:r>
        <w:rPr>
          <w:sz w:val="28"/>
          <w:szCs w:val="28"/>
          <w:lang w:val="vi-VN"/>
        </w:rPr>
        <w:tab/>
        <w:t>Hệ thống SOP là tài liệu thuộc bộ quy trình ISO của doanh nghiệp.</w:t>
      </w:r>
    </w:p>
    <w:p>
      <w:pPr>
        <w:pStyle w:val="Normal"/>
        <w:spacing w:before="240" w:after="0"/>
        <w:ind w:firstLine="425" w:right="-20"/>
        <w:jc w:val="both"/>
        <w:rPr/>
      </w:pPr>
      <w:r>
        <w:rPr>
          <w:sz w:val="28"/>
          <w:szCs w:val="28"/>
          <w:lang w:val="vi-VN"/>
        </w:rPr>
        <w:tab/>
        <w:t>b. Quy trình cơ bản áp dụng ISO 9001 trong một doanh nghiệp:</w:t>
      </w:r>
    </w:p>
    <w:p>
      <w:pPr>
        <w:pStyle w:val="Normal"/>
        <w:spacing w:before="240" w:after="0"/>
        <w:ind w:firstLine="425" w:right="-20"/>
        <w:jc w:val="both"/>
        <w:rPr/>
      </w:pPr>
      <w:r>
        <w:rPr>
          <w:sz w:val="28"/>
          <w:szCs w:val="28"/>
          <w:lang w:val="vi-VN"/>
        </w:rPr>
        <w:tab/>
        <w:t>- Lập kế hoạch: Doanh nghiệp xác định các tiêu chuẩn và yêu cầu của ISO 9001 và lập kế hoạch triển khai hệ thống quản lý chất lượng</w:t>
      </w:r>
    </w:p>
    <w:p>
      <w:pPr>
        <w:pStyle w:val="Normal"/>
        <w:spacing w:before="240" w:after="0"/>
        <w:ind w:firstLine="425" w:right="-20"/>
        <w:jc w:val="both"/>
        <w:rPr>
          <w:sz w:val="28"/>
          <w:szCs w:val="28"/>
        </w:rPr>
      </w:pPr>
      <w:r>
        <w:rPr>
          <w:sz w:val="28"/>
          <w:szCs w:val="28"/>
          <w:lang w:val="vi-VN"/>
        </w:rPr>
        <w:tab/>
        <w:t>- Phân tích: Đánh giá tình hình hiện tại của doanh nghiệp và xác định những điểm mạnh, điểm yếu, cơ hội và thách thức liên quan đến việc</w:t>
      </w:r>
      <w:r>
        <w:rPr>
          <w:sz w:val="28"/>
          <w:szCs w:val="28"/>
        </w:rPr>
        <w:t xml:space="preserve"> thực hiện tiêu chuẩn ISO</w:t>
      </w:r>
    </w:p>
    <w:p>
      <w:pPr>
        <w:pStyle w:val="Normal"/>
        <w:spacing w:before="240" w:after="0"/>
        <w:ind w:firstLine="425" w:right="-20"/>
        <w:jc w:val="both"/>
        <w:rPr>
          <w:sz w:val="28"/>
          <w:szCs w:val="28"/>
        </w:rPr>
      </w:pPr>
      <w:r>
        <w:rPr>
          <w:sz w:val="28"/>
          <w:szCs w:val="28"/>
        </w:rPr>
        <w:tab/>
        <w:t>- Thiết kế hệ thống: Xây dựng các quy trình và hệ thống quản lý chất lượng để đảm bảo tuân thủ tiêu chuẩn ISO 9001</w:t>
      </w:r>
    </w:p>
    <w:p>
      <w:pPr>
        <w:pStyle w:val="Normal"/>
        <w:spacing w:before="240" w:after="0"/>
        <w:ind w:firstLine="425" w:right="-20"/>
        <w:jc w:val="both"/>
        <w:rPr/>
      </w:pPr>
      <w:r>
        <w:rPr>
          <w:sz w:val="28"/>
          <w:szCs w:val="28"/>
        </w:rPr>
        <w:tab/>
        <w:t>- Đào tạo và nhận thức: Đào tạo nhân viên về quy trình mới và tạo ra nhận thức về tầm quan trọng của việc tuân thủ tiêu chuẩn ISO</w:t>
      </w:r>
    </w:p>
    <w:p>
      <w:pPr>
        <w:pStyle w:val="Normal"/>
        <w:spacing w:before="240" w:after="0"/>
        <w:ind w:firstLine="425" w:right="-20"/>
        <w:jc w:val="both"/>
        <w:rPr/>
      </w:pPr>
      <w:r>
        <w:rPr>
          <w:sz w:val="28"/>
          <w:szCs w:val="28"/>
        </w:rPr>
        <w:tab/>
        <w:t>- Triển khai: Áp dụng các quy trình và hệ thống đã thiết kế vào hoạt động hàng ngày của doanh nghiệp</w:t>
      </w:r>
    </w:p>
    <w:p>
      <w:pPr>
        <w:pStyle w:val="Normal"/>
        <w:spacing w:before="240" w:after="0"/>
        <w:ind w:firstLine="425" w:right="-20"/>
        <w:jc w:val="both"/>
        <w:rPr>
          <w:sz w:val="28"/>
          <w:szCs w:val="28"/>
        </w:rPr>
      </w:pPr>
      <w:r>
        <w:rPr>
          <w:sz w:val="28"/>
          <w:szCs w:val="28"/>
        </w:rPr>
        <w:tab/>
        <w:t>- Đánh giá: Thực hiện đánh giá nội bộ để đảm bảo rằng hệ thống đang hoạt động hiệu quả và tuân thủ các yêu cầu của ISO 9001</w:t>
      </w:r>
    </w:p>
    <w:p>
      <w:pPr>
        <w:pStyle w:val="Normal"/>
        <w:spacing w:before="240" w:after="0"/>
        <w:ind w:firstLine="425" w:right="-20"/>
        <w:jc w:val="both"/>
        <w:rPr>
          <w:sz w:val="28"/>
          <w:szCs w:val="28"/>
        </w:rPr>
      </w:pPr>
      <w:r>
        <w:rPr>
          <w:sz w:val="28"/>
          <w:szCs w:val="28"/>
        </w:rPr>
        <w:tab/>
        <w:t>- Kiểm tra ngoại vi: Mời các cơ quan ngoài đến kiểm tra và xác nhận rằng doanh nghiệp đáp ứng đủ tiêu chuẩn ISO</w:t>
      </w:r>
    </w:p>
    <w:p>
      <w:pPr>
        <w:pStyle w:val="Normal"/>
        <w:spacing w:before="240" w:after="0"/>
        <w:ind w:firstLine="425" w:right="-20"/>
        <w:jc w:val="both"/>
        <w:rPr>
          <w:sz w:val="28"/>
          <w:szCs w:val="28"/>
        </w:rPr>
      </w:pPr>
      <w:r>
        <w:rPr>
          <w:sz w:val="28"/>
          <w:szCs w:val="28"/>
        </w:rPr>
        <w:tab/>
        <w:t>- Đánh giá và cải tiến: Theo dõi hiệu quả của hệ thống quản lý chất lượng và tiến hành cải tiến liên tục để đảm bảo tuân thủ tiêu chuẩn ISO 9001 trong tương lai</w:t>
      </w:r>
    </w:p>
    <w:p>
      <w:pPr>
        <w:pStyle w:val="Normal"/>
        <w:spacing w:before="240" w:after="0"/>
        <w:ind w:firstLine="425" w:right="-20"/>
        <w:jc w:val="center"/>
        <w:rPr>
          <w:i/>
          <w:i/>
          <w:iCs/>
          <w:sz w:val="28"/>
          <w:szCs w:val="28"/>
        </w:rPr>
      </w:pPr>
      <w:r>
        <w:rPr>
          <w:i/>
          <w:iCs/>
          <w:sz w:val="28"/>
          <w:szCs w:val="28"/>
        </w:rPr>
        <w:t xml:space="preserve"> </w:t>
      </w:r>
      <w:r>
        <w:rPr>
          <w:i/>
          <w:iCs/>
          <w:sz w:val="28"/>
          <w:szCs w:val="28"/>
        </w:rPr>
        <w:t>(Kèm theo tài liệu hướng dẫn)</w:t>
      </w:r>
    </w:p>
    <w:p>
      <w:pPr>
        <w:pStyle w:val="Normal"/>
        <w:spacing w:before="240" w:after="0"/>
        <w:ind w:firstLine="425" w:right="3"/>
        <w:jc w:val="both"/>
        <w:rPr>
          <w:sz w:val="28"/>
          <w:szCs w:val="28"/>
          <w:lang w:val="pt-BR"/>
        </w:rPr>
      </w:pPr>
      <w:r>
        <w:rPr>
          <w:sz w:val="28"/>
          <w:szCs w:val="28"/>
          <w:lang w:val="pt-BR"/>
        </w:rPr>
        <w:tab/>
        <w:t xml:space="preserve">Trên đây là nội dung </w:t>
      </w:r>
      <w:r>
        <w:rPr>
          <w:sz w:val="28"/>
          <w:szCs w:val="28"/>
        </w:rPr>
        <w:t xml:space="preserve">hướng dẫn xây dựng, ban hành các quy trình nghiệp vụ theo quy định của Hệ thống quản lý chất lượng ISO 9000 và theo tiêu chuẩn SOP thống nhất trong toàn công ty. </w:t>
      </w:r>
      <w:r>
        <w:rPr>
          <w:sz w:val="28"/>
          <w:szCs w:val="28"/>
          <w:lang w:val="pt-BR"/>
        </w:rPr>
        <w:t>Quá trình thực hiện các đơn vị cần tham khảo tài liệu các quy trình ISO trong iOffice (Hệ thống quản lý văn bản và điều hành của Cảng Hải Phòng) theo đường dẫn:</w:t>
      </w:r>
      <w:r>
        <w:rPr>
          <w:b/>
          <w:bCs/>
          <w:i/>
          <w:iCs/>
          <w:sz w:val="28"/>
          <w:szCs w:val="28"/>
          <w:lang w:val="pt-BR"/>
        </w:rPr>
        <w:t xml:space="preserve"> Tài liệu điện tử/Tài liệu được chia sẻ/Tài liệu ISO</w:t>
      </w:r>
      <w:r>
        <w:rPr>
          <w:sz w:val="28"/>
          <w:szCs w:val="28"/>
          <w:lang w:val="pt-BR"/>
        </w:rPr>
        <w:t xml:space="preserve"> và </w:t>
      </w:r>
      <w:r>
        <w:rPr>
          <w:sz w:val="28"/>
          <w:szCs w:val="28"/>
        </w:rPr>
        <w:t xml:space="preserve">Website: </w:t>
      </w:r>
      <w:hyperlink r:id="rId2">
        <w:r>
          <w:rPr>
            <w:rStyle w:val="Hyperlink"/>
            <w:b/>
            <w:bCs/>
            <w:i/>
            <w:iCs/>
            <w:sz w:val="28"/>
            <w:szCs w:val="28"/>
          </w:rPr>
          <w:t>http://kaizen.vimc.co</w:t>
        </w:r>
      </w:hyperlink>
      <w:r>
        <w:rPr>
          <w:sz w:val="28"/>
          <w:szCs w:val="28"/>
        </w:rPr>
        <w:t xml:space="preserve"> của Tổng công ty Hàng hải Việt Nam. </w:t>
      </w:r>
      <w:r>
        <w:rPr>
          <w:sz w:val="28"/>
          <w:szCs w:val="28"/>
          <w:lang w:val="vi-VN"/>
        </w:rPr>
        <w:t>Nếu c</w:t>
      </w:r>
      <w:r>
        <w:rPr>
          <w:sz w:val="28"/>
          <w:szCs w:val="28"/>
          <w:lang w:val="pt-BR"/>
        </w:rPr>
        <w:t xml:space="preserve">ó vướng </w:t>
      </w:r>
      <w:r>
        <w:rPr>
          <w:sz w:val="28"/>
          <w:szCs w:val="28"/>
          <w:lang w:val="vi-VN"/>
        </w:rPr>
        <w:t>mắc,</w:t>
      </w:r>
      <w:r>
        <w:rPr>
          <w:sz w:val="28"/>
          <w:szCs w:val="28"/>
          <w:lang w:val="pt-BR"/>
        </w:rPr>
        <w:t xml:space="preserve"> các đơn vị </w:t>
      </w:r>
      <w:r>
        <w:rPr>
          <w:sz w:val="28"/>
          <w:szCs w:val="28"/>
          <w:lang w:val="vi-VN"/>
        </w:rPr>
        <w:t xml:space="preserve">liên hệ </w:t>
      </w:r>
      <w:r>
        <w:rPr>
          <w:sz w:val="28"/>
          <w:szCs w:val="28"/>
          <w:lang w:val="pt-BR"/>
        </w:rPr>
        <w:t xml:space="preserve">Thường trực Ban chỉ </w:t>
      </w:r>
      <w:r>
        <w:rPr>
          <w:sz w:val="28"/>
          <w:szCs w:val="28"/>
          <w:lang w:val="vi-VN"/>
        </w:rPr>
        <w:t>đạo</w:t>
      </w:r>
      <w:r>
        <w:rPr>
          <w:sz w:val="28"/>
          <w:szCs w:val="28"/>
          <w:lang w:val="pt-BR"/>
        </w:rPr>
        <w:t xml:space="preserve"> ISO</w:t>
      </w:r>
      <w:r>
        <w:rPr>
          <w:sz w:val="28"/>
          <w:szCs w:val="28"/>
          <w:lang w:val="vi-VN"/>
        </w:rPr>
        <w:t xml:space="preserve"> để được hướng dẫn và hỗ trợ.</w:t>
      </w:r>
    </w:p>
    <w:p>
      <w:pPr>
        <w:pStyle w:val="Normal"/>
        <w:spacing w:lineRule="auto" w:line="264" w:before="20" w:after="0"/>
        <w:ind w:firstLine="567" w:right="3"/>
        <w:jc w:val="both"/>
        <w:rPr>
          <w:sz w:val="28"/>
          <w:szCs w:val="28"/>
          <w:lang w:val="pt-BR"/>
        </w:rPr>
      </w:pPr>
      <w:r>
        <w:rPr>
          <w:sz w:val="28"/>
          <w:szCs w:val="28"/>
          <w:lang w:val="pt-BR"/>
        </w:rPr>
      </w:r>
    </w:p>
    <w:tbl>
      <w:tblPr>
        <w:tblW w:w="9977" w:type="dxa"/>
        <w:jc w:val="left"/>
        <w:tblInd w:w="0" w:type="dxa"/>
        <w:tblLayout w:type="fixed"/>
        <w:tblCellMar>
          <w:top w:w="0" w:type="dxa"/>
          <w:left w:w="108" w:type="dxa"/>
          <w:bottom w:w="0" w:type="dxa"/>
          <w:right w:w="108" w:type="dxa"/>
        </w:tblCellMar>
      </w:tblPr>
      <w:tblGrid>
        <w:gridCol w:w="4042"/>
        <w:gridCol w:w="5935"/>
      </w:tblGrid>
      <w:tr>
        <w:trPr/>
        <w:tc>
          <w:tcPr>
            <w:tcW w:w="4042" w:type="dxa"/>
            <w:tcBorders/>
          </w:tcPr>
          <w:p>
            <w:pPr>
              <w:pStyle w:val="Normal"/>
              <w:spacing w:lineRule="atLeast" w:line="240" w:before="120" w:after="0"/>
              <w:ind w:right="6"/>
              <w:jc w:val="both"/>
              <w:rPr>
                <w:rFonts w:ascii="Arial" w:hAnsi="Arial" w:cs="Arial"/>
                <w:b/>
                <w:bCs/>
                <w:lang w:val="pt-BR"/>
              </w:rPr>
            </w:pPr>
            <w:r>
              <w:rPr>
                <w:rFonts w:eastAsia=".VnArial NarrowH;Courier New" w:cs=".VnArial NarrowH;Courier New" w:ascii=".VnArial NarrowH;Courier New" w:hAnsi=".VnArial NarrowH;Courier New"/>
                <w:b/>
                <w:sz w:val="28"/>
                <w:szCs w:val="28"/>
                <w:lang w:val="pt-BR"/>
              </w:rPr>
              <w:t xml:space="preserve"> </w:t>
            </w:r>
            <w:r>
              <w:rPr>
                <w:b/>
                <w:bCs/>
                <w:lang w:val="pt-BR"/>
              </w:rPr>
              <w:t>Nơi nhận</w:t>
            </w:r>
            <w:r>
              <w:rPr>
                <w:lang w:val="pt-BR"/>
              </w:rPr>
              <w:t xml:space="preserve">:  </w:t>
            </w:r>
          </w:p>
          <w:p>
            <w:pPr>
              <w:pStyle w:val="Normal"/>
              <w:spacing w:lineRule="atLeast" w:line="240"/>
              <w:ind w:right="3"/>
              <w:jc w:val="both"/>
              <w:rPr>
                <w:i/>
                <w:i/>
                <w:iCs/>
                <w:sz w:val="22"/>
                <w:szCs w:val="22"/>
                <w:lang w:val="pt-BR"/>
              </w:rPr>
            </w:pPr>
            <w:r>
              <w:rPr>
                <w:i/>
                <w:iCs/>
                <w:sz w:val="22"/>
                <w:szCs w:val="22"/>
                <w:lang w:val="pt-BR"/>
              </w:rPr>
              <w:t>- HĐQT công ty.</w:t>
            </w:r>
          </w:p>
          <w:p>
            <w:pPr>
              <w:pStyle w:val="Normal"/>
              <w:spacing w:lineRule="atLeast" w:line="240"/>
              <w:ind w:right="3"/>
              <w:jc w:val="both"/>
              <w:rPr>
                <w:rFonts w:ascii="Arial" w:hAnsi="Arial" w:cs="Arial"/>
                <w:b/>
                <w:bCs/>
                <w:sz w:val="22"/>
                <w:szCs w:val="22"/>
                <w:lang w:val="pt-BR"/>
              </w:rPr>
            </w:pPr>
            <w:r>
              <w:rPr>
                <w:i/>
                <w:iCs/>
                <w:sz w:val="22"/>
                <w:szCs w:val="22"/>
                <w:lang w:val="pt-BR"/>
              </w:rPr>
              <w:t>- Ban Tổng giám đốc công ty.</w:t>
            </w:r>
          </w:p>
          <w:p>
            <w:pPr>
              <w:pStyle w:val="Normal"/>
              <w:spacing w:lineRule="atLeast" w:line="240"/>
              <w:ind w:right="3"/>
              <w:jc w:val="both"/>
              <w:rPr/>
            </w:pPr>
            <w:r>
              <w:rPr>
                <w:i/>
                <w:iCs/>
                <w:sz w:val="22"/>
                <w:szCs w:val="22"/>
                <w:lang w:val="pt-BR"/>
              </w:rPr>
              <w:t>- C.Đoàn + Đoàn TN+ Hội CCB công ty.</w:t>
            </w:r>
          </w:p>
          <w:p>
            <w:pPr>
              <w:pStyle w:val="Normal"/>
              <w:spacing w:lineRule="atLeast" w:line="240"/>
              <w:ind w:right="3"/>
              <w:jc w:val="both"/>
              <w:rPr/>
            </w:pPr>
            <w:r>
              <w:rPr>
                <w:i/>
                <w:iCs/>
                <w:sz w:val="22"/>
                <w:szCs w:val="22"/>
                <w:lang w:val="pt-BR"/>
              </w:rPr>
              <w:t>- Như  kính gửi</w:t>
            </w:r>
          </w:p>
          <w:p>
            <w:pPr>
              <w:pStyle w:val="Normal"/>
              <w:spacing w:lineRule="atLeast" w:line="240"/>
              <w:ind w:right="3"/>
              <w:jc w:val="both"/>
              <w:rPr>
                <w:rFonts w:ascii="Arial" w:hAnsi="Arial" w:cs="Arial"/>
                <w:b/>
                <w:bCs/>
                <w:sz w:val="22"/>
                <w:szCs w:val="22"/>
                <w:lang w:val="pt-BR"/>
              </w:rPr>
            </w:pPr>
            <w:r>
              <w:rPr>
                <w:i/>
                <w:iCs/>
                <w:sz w:val="22"/>
                <w:szCs w:val="22"/>
                <w:lang w:val="pt-BR"/>
              </w:rPr>
              <w:t>- Các thành viên BCĐ ISO công ty.</w:t>
            </w:r>
          </w:p>
          <w:p>
            <w:pPr>
              <w:pStyle w:val="Normal"/>
              <w:spacing w:lineRule="auto" w:line="264" w:before="20" w:after="0"/>
              <w:ind w:right="3"/>
              <w:jc w:val="both"/>
              <w:rPr>
                <w:rFonts w:ascii=".VnTime;Courier New" w:hAnsi=".VnTime;Courier New" w:cs=".VnTime;Courier New"/>
                <w:sz w:val="28"/>
              </w:rPr>
            </w:pPr>
            <w:r>
              <w:rPr>
                <w:i/>
                <w:iCs/>
                <w:sz w:val="22"/>
                <w:szCs w:val="22"/>
              </w:rPr>
              <w:t>- Lưu: TT BCĐ ISO - VT</w:t>
            </w:r>
            <w:r>
              <w:rPr>
                <w:i/>
                <w:iCs/>
              </w:rPr>
              <w:t>.</w:t>
            </w:r>
          </w:p>
        </w:tc>
        <w:tc>
          <w:tcPr>
            <w:tcW w:w="5935" w:type="dxa"/>
            <w:tcBorders/>
          </w:tcPr>
          <w:p>
            <w:pPr>
              <w:pStyle w:val="Normal"/>
              <w:spacing w:lineRule="auto" w:line="264" w:before="20" w:after="0"/>
              <w:ind w:right="3"/>
              <w:jc w:val="center"/>
              <w:rPr>
                <w:b/>
              </w:rPr>
            </w:pPr>
            <w:r>
              <w:rPr>
                <w:b/>
              </w:rPr>
              <w:t>TM. BAN CHỈ ĐẠO ISO CÔNG TY</w:t>
            </w:r>
          </w:p>
          <w:p>
            <w:pPr>
              <w:pStyle w:val="Normal"/>
              <w:spacing w:lineRule="auto" w:line="264" w:before="20" w:after="0"/>
              <w:ind w:right="3"/>
              <w:jc w:val="center"/>
              <w:rPr>
                <w:b/>
              </w:rPr>
            </w:pPr>
            <w:r>
              <w:rPr>
                <w:b/>
              </w:rPr>
              <w:t>TRƯỞNG BAN</w:t>
            </w:r>
          </w:p>
          <w:p>
            <w:pPr>
              <w:pStyle w:val="Normal"/>
              <w:spacing w:lineRule="auto" w:line="264" w:before="20" w:after="0"/>
              <w:ind w:right="3"/>
              <w:jc w:val="center"/>
              <w:rPr>
                <w:b/>
              </w:rPr>
            </w:pPr>
            <w:r>
              <w:rPr>
                <w:b/>
              </w:rPr>
            </w:r>
          </w:p>
          <w:p>
            <w:pPr>
              <w:pStyle w:val="Normal"/>
              <w:spacing w:lineRule="auto" w:line="264" w:before="20" w:after="0"/>
              <w:ind w:right="3"/>
              <w:jc w:val="center"/>
              <w:rPr>
                <w:b/>
              </w:rPr>
            </w:pPr>
            <w:r>
              <w:rPr>
                <w:b/>
              </w:rPr>
            </w:r>
          </w:p>
          <w:p>
            <w:pPr>
              <w:pStyle w:val="Normal"/>
              <w:spacing w:lineRule="auto" w:line="264" w:before="20" w:after="0"/>
              <w:ind w:right="3"/>
              <w:jc w:val="center"/>
              <w:rPr>
                <w:b/>
              </w:rPr>
            </w:pPr>
            <w:r>
              <w:rPr>
                <w:b/>
              </w:rPr>
            </w:r>
          </w:p>
          <w:p>
            <w:pPr>
              <w:pStyle w:val="Normal"/>
              <w:spacing w:lineRule="auto" w:line="264" w:before="20" w:after="0"/>
              <w:ind w:right="3"/>
              <w:jc w:val="center"/>
              <w:rPr>
                <w:b/>
              </w:rPr>
            </w:pPr>
            <w:r>
              <w:rPr>
                <w:b/>
              </w:rPr>
            </w:r>
          </w:p>
          <w:p>
            <w:pPr>
              <w:pStyle w:val="Normal"/>
              <w:spacing w:lineRule="auto" w:line="264" w:before="20" w:after="0"/>
              <w:ind w:right="3"/>
              <w:jc w:val="center"/>
              <w:rPr>
                <w:b/>
              </w:rPr>
            </w:pPr>
            <w:r>
              <w:rPr>
                <w:b/>
              </w:rPr>
            </w:r>
          </w:p>
          <w:p>
            <w:pPr>
              <w:pStyle w:val="Normal"/>
              <w:spacing w:lineRule="auto" w:line="264" w:before="20" w:after="0"/>
              <w:ind w:right="3"/>
              <w:jc w:val="center"/>
              <w:rPr>
                <w:b/>
                <w:i/>
                <w:i/>
                <w:sz w:val="28"/>
              </w:rPr>
            </w:pPr>
            <w:r>
              <w:rPr>
                <w:b/>
                <w:i/>
                <w:sz w:val="28"/>
              </w:rPr>
            </w:r>
          </w:p>
        </w:tc>
      </w:tr>
    </w:tbl>
    <w:p>
      <w:pPr>
        <w:pStyle w:val="Normal"/>
        <w:spacing w:lineRule="atLeast" w:line="240" w:before="0" w:after="120"/>
        <w:ind w:right="-266"/>
        <w:jc w:val="both"/>
        <w:rPr/>
      </w:pPr>
      <w:r>
        <w:rPr/>
      </w:r>
    </w:p>
    <w:sectPr>
      <w:footerReference w:type="default" r:id="rId3"/>
      <w:type w:val="nextPage"/>
      <w:pgSz w:w="11906" w:h="16838"/>
      <w:pgMar w:left="1418" w:right="1077" w:gutter="0" w:header="0" w:top="1077" w:footer="454"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rial NarrowH">
    <w:altName w:val="Courier New"/>
    <w:charset w:val="00"/>
    <w:family w:val="swiss"/>
    <w:pitch w:val="variable"/>
  </w:font>
  <w:font w:name=".VnCentury SchoolbookH">
    <w:altName w:val="Courier New"/>
    <w:charset w:val="00"/>
    <w:family w:val="swiss"/>
    <w:pitch w:val="variable"/>
  </w:font>
  <w:font w:name=".VnTime">
    <w:altName w:val="Courier New"/>
    <w:charset w:val="00"/>
    <w:family w:val="swiss"/>
    <w:pitch w:val="variable"/>
  </w:font>
  <w:font w:name=".VnTimeH">
    <w:altName w:val="Courier New"/>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Tahoma">
    <w:charset w:val="00"/>
    <w:family w:val="swiss"/>
    <w:pitch w:val="variable"/>
  </w:font>
  <w:font w:name=".VnVogueH">
    <w:altName w:val="Courier Ne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 xml:space="preserve"> / 3 -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rFonts w:ascii=".VnArial NarrowH;Courier New" w:hAnsi=".VnArial NarrowH;Courier New" w:cs=".VnArial NarrowH;Courier New"/>
      <w:b/>
      <w:bCs/>
      <w:sz w:val="26"/>
      <w:szCs w:val="28"/>
    </w:rPr>
  </w:style>
  <w:style w:type="paragraph" w:styleId="Heading3">
    <w:name w:val="heading 3"/>
    <w:basedOn w:val="Normal"/>
    <w:next w:val="Normal"/>
    <w:qFormat/>
    <w:pPr>
      <w:keepNext w:val="true"/>
      <w:numPr>
        <w:ilvl w:val="2"/>
        <w:numId w:val="1"/>
      </w:numPr>
      <w:ind w:hanging="142" w:left="0" w:right="-125"/>
      <w:jc w:val="center"/>
      <w:outlineLvl w:val="2"/>
    </w:pPr>
    <w:rPr>
      <w:rFonts w:ascii=".VnCentury SchoolbookH;Courier New" w:hAnsi=".VnCentury SchoolbookH;Courier New" w:cs=".VnCentury SchoolbookH;Courier New"/>
      <w:b/>
      <w:sz w:val="32"/>
      <w:szCs w:val="32"/>
    </w:rPr>
  </w:style>
  <w:style w:type="paragraph" w:styleId="Heading4">
    <w:name w:val="heading 4"/>
    <w:basedOn w:val="Normal"/>
    <w:next w:val="Normal"/>
    <w:qFormat/>
    <w:pPr>
      <w:keepNext w:val="true"/>
      <w:numPr>
        <w:ilvl w:val="3"/>
        <w:numId w:val="1"/>
      </w:numPr>
      <w:jc w:val="both"/>
      <w:outlineLvl w:val="3"/>
    </w:pPr>
    <w:rPr>
      <w:rFonts w:ascii=".VnTime;Courier New" w:hAnsi=".VnTime;Courier New" w:cs=".VnTime;Courier New"/>
      <w:i/>
      <w:sz w:val="28"/>
    </w:rPr>
  </w:style>
  <w:style w:type="paragraph" w:styleId="Heading5">
    <w:name w:val="heading 5"/>
    <w:basedOn w:val="Normal"/>
    <w:next w:val="Normal"/>
    <w:qFormat/>
    <w:pPr>
      <w:keepNext w:val="true"/>
      <w:numPr>
        <w:ilvl w:val="4"/>
        <w:numId w:val="1"/>
      </w:numPr>
      <w:spacing w:before="120" w:after="0"/>
      <w:jc w:val="center"/>
      <w:outlineLvl w:val="4"/>
    </w:pPr>
    <w:rPr>
      <w:rFonts w:ascii=".VnTimeH;Courier New" w:hAnsi=".VnTimeH;Courier New" w:cs=".VnTimeH;Courier New"/>
      <w:b/>
      <w:bCs/>
    </w:rPr>
  </w:style>
  <w:style w:type="paragraph" w:styleId="Heading6">
    <w:name w:val="heading 6"/>
    <w:basedOn w:val="Normal"/>
    <w:next w:val="Normal"/>
    <w:qFormat/>
    <w:pPr>
      <w:keepNext w:val="true"/>
      <w:numPr>
        <w:ilvl w:val="5"/>
        <w:numId w:val="1"/>
      </w:numPr>
      <w:spacing w:lineRule="atLeast" w:line="400"/>
      <w:ind w:firstLine="567" w:left="0" w:right="0"/>
      <w:jc w:val="both"/>
      <w:outlineLvl w:val="5"/>
    </w:pPr>
    <w:rPr>
      <w:rFonts w:ascii=".VnTimeH;Courier New" w:hAnsi=".VnTimeH;Courier New" w:cs=".VnTimeH;Courier New"/>
      <w:b/>
      <w:sz w:val="22"/>
    </w:rPr>
  </w:style>
  <w:style w:type="paragraph" w:styleId="Heading7">
    <w:name w:val="heading 7"/>
    <w:basedOn w:val="Normal"/>
    <w:next w:val="Normal"/>
    <w:qFormat/>
    <w:pPr>
      <w:keepNext w:val="true"/>
      <w:numPr>
        <w:ilvl w:val="6"/>
        <w:numId w:val="1"/>
      </w:numPr>
      <w:jc w:val="center"/>
      <w:outlineLvl w:val="6"/>
    </w:pPr>
    <w:rPr>
      <w:rFonts w:ascii=".VnTimeH;Courier New" w:hAnsi=".VnTimeH;Courier New" w:cs=".VnTimeH;Courier New"/>
      <w:b/>
      <w:sz w:val="22"/>
    </w:rPr>
  </w:style>
  <w:style w:type="character" w:styleId="WW8Num1z0">
    <w:name w:val="WW8Num1z0"/>
    <w:qFormat/>
    <w:rPr>
      <w:rFonts w:ascii=".VnTime;Courier New" w:hAnsi=".VnTime;Courier New"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5z0">
    <w:name w:val="WW8Num5z0"/>
    <w:qFormat/>
    <w:rPr>
      <w:rFonts w:ascii=".VnTime;Courier New" w:hAnsi=".VnTime;Courier New"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VnTime;Courier New" w:hAnsi=".VnTime;Courier New"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VnTime;Courier New" w:hAnsi=".VnTime;Courier New"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Hyperlink">
    <w:name w:val="Hyperlink"/>
    <w:rPr>
      <w:color w:val="0000FF"/>
      <w:u w:val="single"/>
    </w:rPr>
  </w:style>
  <w:style w:type="character" w:styleId="PageNumber">
    <w:name w:val="page number"/>
    <w:basedOn w:val="DefaultParagraphFont"/>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har">
    <w:name w:val=" Char"/>
    <w:basedOn w:val="Normal"/>
    <w:qFormat/>
    <w:pPr>
      <w:widowControl w:val="false"/>
      <w:jc w:val="both"/>
    </w:pPr>
    <w:rPr>
      <w:rFonts w:eastAsia="SimSun;宋体"/>
      <w:kern w:val="2"/>
      <w:lang w:eastAsia="zh-CN"/>
    </w:rPr>
  </w:style>
  <w:style w:type="paragraph" w:styleId="BodyTextIndent2">
    <w:name w:val="Body Text Indent 2"/>
    <w:basedOn w:val="Normal"/>
    <w:qFormat/>
    <w:pPr>
      <w:spacing w:before="120" w:after="0"/>
      <w:ind w:firstLine="567" w:left="0" w:right="0"/>
      <w:jc w:val="both"/>
    </w:pPr>
    <w:rPr>
      <w:rFonts w:ascii=".VnTime;Courier New" w:hAnsi=".VnTime;Courier New" w:cs=".VnTime;Courier New"/>
      <w:sz w:val="26"/>
      <w:szCs w:val="20"/>
    </w:rPr>
  </w:style>
  <w:style w:type="paragraph" w:styleId="BalloonText">
    <w:name w:val="Balloon Text"/>
    <w:basedOn w:val="Normal"/>
    <w:qFormat/>
    <w:pPr/>
    <w:rPr>
      <w:rFonts w:ascii="Tahoma" w:hAnsi="Tahoma" w:cs="Tahoma"/>
      <w:sz w:val="16"/>
      <w:szCs w:val="16"/>
    </w:rPr>
  </w:style>
  <w:style w:type="paragraph" w:styleId="Char1">
    <w:name w:val="Char"/>
    <w:basedOn w:val="Normal"/>
    <w:qFormat/>
    <w:pPr>
      <w:widowControl w:val="false"/>
      <w:jc w:val="both"/>
    </w:pPr>
    <w:rPr>
      <w:kern w:val="2"/>
      <w:lang w:eastAsia="zh-CN"/>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aizen.vimc.co/"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2023-07-17T10:32:00Z</dcterms:created>
  <dc:creator>PHCQT_WS4</dc:creator>
  <dc:description/>
  <cp:keywords/>
  <dc:language>en-US</dc:language>
  <cp:lastModifiedBy>Dong Lee</cp:lastModifiedBy>
  <cp:lastPrinted>2017-12-22T16:38:00Z</cp:lastPrinted>
  <dcterms:modified xsi:type="dcterms:W3CDTF">2023-08-04T18:25:00Z</dcterms:modified>
  <cp:revision>10</cp:revision>
  <dc:subject/>
  <dc:title>§Ò NGHÞ SöA §æi, bæ xung néi quy quy chÕ</dc:title>
</cp:coreProperties>
</file>