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6F1" w:rsidRPr="009876F1" w:rsidRDefault="009876F1" w:rsidP="009876F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KIỂM SOÁT CHU TRÌNH MUA HÀNG – NHẬN DIỆN RỦI RO VÀ GIẢI PHÁP ĐỂ KIỂM SOÁT TỐT HƠN</w:t>
      </w:r>
    </w:p>
    <w:p w:rsidR="009876F1" w:rsidRPr="009876F1" w:rsidRDefault="009876F1" w:rsidP="009876F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Điều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gì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xảy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ra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khi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chu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trình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kiểm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soát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mua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hàng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lỏng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lẻo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không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được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kiểm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soát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chặt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chẽ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?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Những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khâu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quy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trình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tưởng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như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rất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đơn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giản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nhưng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những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mối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nguy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hiểm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ngầm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vẫn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sẽ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“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len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lỏi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”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nếu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khâu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kiểm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soát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không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chất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lượng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sẽ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dẫn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tới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một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thiệt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hại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khôn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lường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.</w:t>
      </w:r>
    </w:p>
    <w:p w:rsidR="009876F1" w:rsidRPr="009876F1" w:rsidRDefault="009876F1" w:rsidP="009876F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Bài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viết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dưới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sẽ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chỉ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cho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bạn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thấy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rủi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ro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có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thể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xảy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từ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những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quy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trình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tưởng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như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đơn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giản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nhất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.</w:t>
      </w:r>
    </w:p>
    <w:p w:rsidR="009876F1" w:rsidRPr="009876F1" w:rsidRDefault="009876F1" w:rsidP="009876F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Những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“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cơn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sóng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”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nhỏ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trong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chu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trình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mua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hàng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tạo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nên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những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mối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nguy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hiểm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ngầm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.</w:t>
      </w:r>
    </w:p>
    <w:p w:rsidR="009876F1" w:rsidRPr="009876F1" w:rsidRDefault="009876F1" w:rsidP="009876F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Đối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với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chu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trình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mua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hàng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khả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năng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xảy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ra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sai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phạm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diễn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ra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khá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phổ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biến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với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các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mức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độ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khác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nhau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.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Việc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phân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tích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rủi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ro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là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khâu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cực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kỳ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quan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trọng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vì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nó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sẽ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giúp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ban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kiểm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soát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thiết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kế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được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các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thủ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tục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kiểm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soát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tốt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hơn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.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Các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sai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phạm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sẽ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chủ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yếu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diễn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ra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ở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các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khâu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:</w:t>
      </w:r>
    </w:p>
    <w:p w:rsidR="009876F1" w:rsidRPr="009876F1" w:rsidRDefault="009876F1" w:rsidP="009876F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9876F1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9" name="Picture 9" descr="✔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✔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Rủi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ro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trong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đề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nghị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mua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hàng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: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Không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phù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hợp,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trùng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lặp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đặt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mua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nhiều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hơn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nhu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cầu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sử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dụng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đặt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mua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quá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trễ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hoặc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quá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sớm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đặt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mua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hàng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với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chất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lượng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kém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hoặc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giá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cao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-&gt;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Dẫn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tới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lãng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phí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chiếm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dụng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kho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bãi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với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hàng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đặt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nhiều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hơn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nhu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cầu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dùng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gây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ứ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đọng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vốn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tốn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kém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chi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phí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lưu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kho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…</w:t>
      </w:r>
    </w:p>
    <w:p w:rsidR="009876F1" w:rsidRPr="009876F1" w:rsidRDefault="009876F1" w:rsidP="009876F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9876F1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8" name="Picture 8" descr="✔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✔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Chọn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lựa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nhà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cung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cấp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: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Nhân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viên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bộ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phận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xử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lý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báo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giá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thông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đồng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với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nhà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cung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cấp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mà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họ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quen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tuy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rằng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nhà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cung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cấp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này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có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mức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giá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đắt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hơn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hoặc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sản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phẩm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không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được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chất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lượng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so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với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các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nhà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cung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cấp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có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giá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hợp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lý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và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chất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lượng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khác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.</w:t>
      </w:r>
    </w:p>
    <w:p w:rsidR="009876F1" w:rsidRPr="009876F1" w:rsidRDefault="009876F1" w:rsidP="009876F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9876F1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7" name="Picture 7" descr="✔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✔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Nhận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hàng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: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Nhận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hàng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không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đúng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quy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cách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chất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lượng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số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lượng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hàng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đã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đặt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.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Hoặc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nhận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và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biển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thủ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hàng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-&gt;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không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nhập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kho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.</w:t>
      </w:r>
    </w:p>
    <w:p w:rsidR="009876F1" w:rsidRPr="009876F1" w:rsidRDefault="009876F1" w:rsidP="009876F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9876F1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6" name="Picture 6" descr="✔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✔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Bảo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quản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hàng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: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Hàng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tồn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kho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có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thể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bị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mất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cắp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công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nhân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có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thể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hủy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hoặc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giấu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những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sản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phẩm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lỗi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để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tranh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bị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phạt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.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Hàng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hóa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bị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hư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hỏng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hết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hạn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mà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không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biết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.</w:t>
      </w:r>
    </w:p>
    <w:p w:rsidR="009876F1" w:rsidRPr="009876F1" w:rsidRDefault="009876F1" w:rsidP="009876F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9876F1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5" name="Picture 5" descr="✔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✔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Trả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tiền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: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Lập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chứng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từ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mua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hàng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khống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để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được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thanh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toán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chi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trả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nhiều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hơn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giá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trị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hàng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đã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nhận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ghi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nhận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sai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thông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tin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về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nhà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cung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cấp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như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tên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thời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hạn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thanh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toán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thời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hạn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hưởng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chiết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khấu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.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Ghi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chép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hàng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mua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và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nợ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phải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trả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sai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niên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độ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sai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số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tiền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ghi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trùng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ghi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sót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hóa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đơn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.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Trả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tiền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cho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nhà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cung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cấp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khi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chưa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được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phê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duyệt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trả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tiền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trễ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hẹn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khiến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công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ty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không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được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hưởng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chiết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khấu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-&gt;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Thiệt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hại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về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dòng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tiền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. </w:t>
      </w:r>
    </w:p>
    <w:p w:rsidR="009876F1" w:rsidRPr="009876F1" w:rsidRDefault="009876F1" w:rsidP="009876F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Quá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nhiều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lỗ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hổng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cần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kiểm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soát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tại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tất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cả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các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khâu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của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quá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trình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mua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hàng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hãy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thiết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lập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ngay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quy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trình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quy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chuẩn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hồ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sơ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biểu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mẫu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định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mức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hạn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mức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để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ngăn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ngừa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rủi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ro.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Các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quy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chế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thương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mại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hàng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tồn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kho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kế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hoạch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dòng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tiền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và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kế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hoạch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mua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.</w:t>
      </w:r>
    </w:p>
    <w:p w:rsidR="009876F1" w:rsidRPr="009876F1" w:rsidRDefault="009876F1" w:rsidP="009876F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Khi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nhìn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vào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những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thông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tin ở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trên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ta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có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thấy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bản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thân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quy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trình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đã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tiềm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ẩn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rủi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ro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ở TỪNG KHÂU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một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.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Vì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vậy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khi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chúng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ta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nhìn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thấy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rủi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ro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thì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hãy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tìm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cách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ngăn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ngừa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khắc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phục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rủi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ro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đó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và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việc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đầu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tiên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cần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làm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là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thiết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lập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chương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trình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hoạt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động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kiểm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soát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. </w:t>
      </w:r>
    </w:p>
    <w:p w:rsidR="009876F1" w:rsidRPr="009876F1" w:rsidRDefault="009876F1" w:rsidP="009876F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Hoạt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động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kiểm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soát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đó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sẽ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gồm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:</w:t>
      </w:r>
    </w:p>
    <w:p w:rsidR="009876F1" w:rsidRPr="009876F1" w:rsidRDefault="009876F1" w:rsidP="009876F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-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Cơ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chế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vận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hành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và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hệ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thống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kế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hoạch</w:t>
      </w:r>
      <w:proofErr w:type="spellEnd"/>
    </w:p>
    <w:p w:rsidR="009876F1" w:rsidRPr="009876F1" w:rsidRDefault="009876F1" w:rsidP="009876F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-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Có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kế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hoạch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rồi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cần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tuân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thủ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hệ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thống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định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mức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hạn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mức</w:t>
      </w:r>
      <w:proofErr w:type="spellEnd"/>
    </w:p>
    <w:p w:rsidR="009876F1" w:rsidRPr="009876F1" w:rsidRDefault="009876F1" w:rsidP="009876F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-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Các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quy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trình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tác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nghiệp</w:t>
      </w:r>
      <w:proofErr w:type="spellEnd"/>
    </w:p>
    <w:p w:rsidR="009876F1" w:rsidRPr="009876F1" w:rsidRDefault="009876F1" w:rsidP="009876F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-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Hệ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thống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biểu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mẫu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tác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nghiệp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kèm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theo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từng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nút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trong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quy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trình</w:t>
      </w:r>
      <w:proofErr w:type="spellEnd"/>
    </w:p>
    <w:p w:rsidR="009876F1" w:rsidRPr="009876F1" w:rsidRDefault="009876F1" w:rsidP="009876F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-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Chương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trình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làm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việc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và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biểu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mẫu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kiểm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soát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nội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bộ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(KSNB)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của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phòng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KSNB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hoặc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nhân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sự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phụ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trách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KSNB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trong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doanh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nghiệp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.</w:t>
      </w:r>
    </w:p>
    <w:p w:rsidR="009876F1" w:rsidRPr="009876F1" w:rsidRDefault="009876F1" w:rsidP="009876F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Trước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khi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mọi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thứ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quá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muộn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màng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để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phải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thốt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lên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câu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“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giá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như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”,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thì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ban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kiểm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soát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hãy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thắt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chặt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lại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hoạt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động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của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mình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ở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khâu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mua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hàng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thủ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tục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kiểm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soát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mua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hàng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thường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được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thiết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lập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để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hạn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chế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những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mối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nguy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hiểm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ngầm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diễn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ra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ở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khâu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mua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hàng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.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Bên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cạnh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đó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hãy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chấm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dứt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việc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xây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dựng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quy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trình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quy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chuẩn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biểu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mẫu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“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gom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nhặt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”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và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áp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dụng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mang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tính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chất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hình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thức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. </w:t>
      </w:r>
    </w:p>
    <w:p w:rsidR="009876F1" w:rsidRPr="009876F1" w:rsidRDefault="009876F1" w:rsidP="009876F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9876F1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4" name="Picture 4" descr="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Khóa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học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Quản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trị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rủi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ro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và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Kiểm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soát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nội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bộ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tại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TACA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trực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tiếp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hướng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dẫn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xây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dựng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các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chương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trình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kiểm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soát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và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quản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trị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rủi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ro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thông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qua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các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case studies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với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các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ngành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kinh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doanh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khác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nhau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.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Thực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hành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thảo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luận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về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hệ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thống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kiểm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soát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nội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bộ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tại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doanh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nghiệp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.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Cách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áp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dụng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tiêu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chuẩn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quốc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tế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về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quản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trị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rủi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ro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theo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CIA (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chương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trình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học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cho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các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kiểm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toán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nội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bộ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quốc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tế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).</w:t>
      </w:r>
    </w:p>
    <w:p w:rsidR="009876F1" w:rsidRPr="009876F1" w:rsidRDefault="009876F1" w:rsidP="009876F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Khoá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học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được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trực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tiếp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giảng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dạy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từ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các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chuyên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đầu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ngành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sở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hữu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chứng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chỉ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CIA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danh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giá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từ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tổ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chức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IIA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cùng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chứng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chỉ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CISA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từ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tổ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chức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ISACA.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Nắm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giữ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các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vị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trí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cao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cấp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trưởng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ban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quản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trị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rủi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lastRenderedPageBreak/>
        <w:t>ro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trưởng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ban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kiểm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soát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nội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bộ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của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nhiều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tập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đoàn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lớn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với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hơn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15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năm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kinh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nghiệm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trong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lĩnh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vực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kiểm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toán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quản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lý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rủi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ro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xây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dựng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SOP,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kiểm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toán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ERM,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kiểm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soát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nội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bộ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và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xử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lý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khủng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hoảng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.</w:t>
      </w:r>
    </w:p>
    <w:p w:rsidR="009876F1" w:rsidRPr="009876F1" w:rsidRDefault="009876F1" w:rsidP="009876F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9876F1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3" name="Picture 3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Link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thông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tin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khoá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học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: </w:t>
      </w:r>
      <w:hyperlink r:id="rId7" w:tgtFrame="_blank" w:history="1">
        <w:r w:rsidRPr="009876F1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https://taca.edu.vn/khoa-hoc-quan-tri-rui-ro-va-kiem.../</w:t>
        </w:r>
      </w:hyperlink>
    </w:p>
    <w:p w:rsidR="009876F1" w:rsidRPr="009876F1" w:rsidRDefault="009876F1" w:rsidP="009876F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9876F1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2" name="Picture 2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Link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đăng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ký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: </w:t>
      </w:r>
      <w:hyperlink r:id="rId8" w:tgtFrame="_blank" w:history="1">
        <w:r w:rsidRPr="009876F1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https://docs.google.com/.../1N6Qyo16ib6GiU7.../edit</w:t>
        </w:r>
      </w:hyperlink>
    </w:p>
    <w:p w:rsidR="009876F1" w:rsidRPr="009876F1" w:rsidRDefault="009876F1" w:rsidP="009876F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Hãy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bắt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tay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ngay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để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xây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dựng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hệ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thống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KSNB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vững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mạnh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và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tạo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ra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hiệu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suất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tối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ưu</w:t>
      </w:r>
      <w:proofErr w:type="spellEnd"/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.</w:t>
      </w:r>
    </w:p>
    <w:p w:rsidR="009876F1" w:rsidRPr="009876F1" w:rsidRDefault="009876F1" w:rsidP="009876F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9876F1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1" name="Picture 1" descr="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☎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76F1">
        <w:rPr>
          <w:rFonts w:ascii="inherit" w:eastAsia="Times New Roman" w:hAnsi="inherit" w:cs="Segoe UI Historic"/>
          <w:color w:val="050505"/>
          <w:sz w:val="23"/>
          <w:szCs w:val="23"/>
        </w:rPr>
        <w:t>Hotline: 0962 511 911 - 0947 511 911</w:t>
      </w:r>
    </w:p>
    <w:p w:rsidR="00096F48" w:rsidRDefault="00096F48"/>
    <w:p w:rsidR="009876F1" w:rsidRDefault="009876F1">
      <w:r w:rsidRPr="009876F1">
        <w:drawing>
          <wp:inline distT="0" distB="0" distL="0" distR="0" wp14:anchorId="317E2B91" wp14:editId="7EEDBD86">
            <wp:extent cx="5943600" cy="6296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76F1" w:rsidRDefault="009876F1"/>
    <w:sectPr w:rsidR="009876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2C7"/>
    <w:rsid w:val="00096F48"/>
    <w:rsid w:val="005B72C7"/>
    <w:rsid w:val="0098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9523"/>
  <w15:chartTrackingRefBased/>
  <w15:docId w15:val="{D38901E1-35EE-4857-A56C-A6AB8291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76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43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295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151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784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9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7963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8435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208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15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674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262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04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410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0433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678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538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836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733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678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148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.facebook.com/l.php?u=https%3A%2F%2Fdocs.google.com%2Fforms%2Fd%2F1N6Qyo16ib6GiU7_LmscafPGfyvay4f8VXDsdwhLAjSY%2Fedit%3Ffbclid%3DIwAR3tpqY4xkdyn8PxwUb7585wP4EEyepbJ_J-C08YU-Mt3zf2GXZSWFo0LVQ&amp;h=AT34f3NLKpVU2FZbM-4Pphu1ku-4UgmHbvNVkvRrD6VGOorVwY2LJ7XWJFryINFTqyJXes4rssRCg9VeF_4B_l6NnvNmsldGTI7LumPesCRCFwn0SsNnC_Ys_5OcRXreYA&amp;__tn__=-UK-R&amp;c%5b0%5d=AT1-yul36SPEYQhwj8Tup4mcNqIDCKb7YAjl7Ekr1kqRAkal0_AnmAFDWoVmd5P7bbyH1Ea2YCA9Ld5sJxPsdn32yIDSQ8snSfCFvKbihz9_2ydTIo0gTtkgPZLNAUSYtcSeqbXUfIhyEZ1fjYqy-JoxpakgnMcHopFxlYmsVMARKOcQpOcjeiMNUJvjiESmsXGVHwTXZJgF3T852MYPLFSXulJeqokcSNuh-H3y_Qb0jaMHtpQiIuRUC6hCDWhY5-5QH7BlystrxCnuKwgMj8f9q2Qd3XPbZFovZLWgKo0OFL-sK7vMlRHd6fDhTK0garZEWcniV6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aca.edu.vn/khoa-hoc-quan-tri-rui-ro-va-kiem-soat-noi-bo/?fbclid=IwAR0wvd07p7hCZnI9AjDsqSVzwXcMvZrWZIS1--AqWrfwScmEpnFA0dUjY-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765</Words>
  <Characters>4366</Characters>
  <Application>Microsoft Office Word</Application>
  <DocSecurity>0</DocSecurity>
  <Lines>36</Lines>
  <Paragraphs>10</Paragraphs>
  <ScaleCrop>false</ScaleCrop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Lee</dc:creator>
  <cp:keywords/>
  <dc:description/>
  <cp:lastModifiedBy>Dong Lee</cp:lastModifiedBy>
  <cp:revision>2</cp:revision>
  <dcterms:created xsi:type="dcterms:W3CDTF">2023-08-18T02:37:00Z</dcterms:created>
  <dcterms:modified xsi:type="dcterms:W3CDTF">2023-08-18T02:37:00Z</dcterms:modified>
</cp:coreProperties>
</file>