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881" w:type="dxa"/>
        <w:jc w:val="left"/>
        <w:tblInd w:w="-601" w:type="dxa"/>
        <w:tblLayout w:type="fixed"/>
        <w:tblCellMar>
          <w:top w:w="0" w:type="dxa"/>
          <w:left w:w="108" w:type="dxa"/>
          <w:bottom w:w="0" w:type="dxa"/>
          <w:right w:w="108" w:type="dxa"/>
        </w:tblCellMar>
      </w:tblPr>
      <w:tblGrid>
        <w:gridCol w:w="4759"/>
        <w:gridCol w:w="6122"/>
      </w:tblGrid>
      <w:tr>
        <w:trPr/>
        <w:tc>
          <w:tcPr>
            <w:tcW w:w="475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TỔNG CÔNG TY HÀNG HẢI VIỆT NAM</w:t>
            </w:r>
          </w:p>
          <w:p>
            <w:pPr>
              <w:pStyle w:val="Normal"/>
              <w:spacing w:lineRule="auto" w:line="240" w:before="0" w:after="0"/>
              <w:jc w:val="center"/>
              <w:rPr/>
            </w:pPr>
            <w:r>
              <w:rPr>
                <w:rFonts w:cs="Times New Roman" w:ascii="Times New Roman" w:hAnsi="Times New Roman"/>
                <w:b/>
                <w:sz w:val="24"/>
                <w:szCs w:val="24"/>
              </w:rPr>
              <w:t>CÔNG TY VTB VINALINES</w:t>
            </w:r>
          </w:p>
          <w:p>
            <w:pPr>
              <w:pStyle w:val="Normal"/>
              <w:spacing w:lineRule="auto" w:line="240" w:before="0" w:after="0"/>
              <w:jc w:val="center"/>
              <w:rPr>
                <w:rFonts w:ascii="Times New Roman" w:hAnsi="Times New Roman" w:cs="Times New Roman"/>
                <w:b/>
                <w:sz w:val="24"/>
                <w:szCs w:val="24"/>
              </w:rPr>
            </w:pPr>
            <w:r>
              <w:rPr>
                <w:rFonts w:cs="Times New Roman" w:ascii="Times New Roman" w:hAnsi="Times New Roman"/>
                <w:b/>
                <w:sz w:val="24"/>
                <w:szCs w:val="24"/>
              </w:rPr>
              <w:t>---------------------------</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Số          /VLC-TTKTTC</w:t>
            </w:r>
          </w:p>
          <w:p>
            <w:pPr>
              <w:pStyle w:val="Normal"/>
              <w:spacing w:lineRule="auto" w:line="240" w:before="0" w:after="0"/>
              <w:jc w:val="center"/>
              <w:rPr>
                <w:rFonts w:ascii="Times New Roman" w:hAnsi="Times New Roman" w:cs="Times New Roman"/>
                <w:b/>
                <w:i/>
                <w:i/>
                <w:sz w:val="24"/>
                <w:szCs w:val="24"/>
              </w:rPr>
            </w:pPr>
            <w:r>
              <w:rPr>
                <w:rFonts w:cs="Times New Roman" w:ascii="Times New Roman" w:hAnsi="Times New Roman"/>
                <w:b/>
                <w:i/>
                <w:sz w:val="24"/>
                <w:szCs w:val="24"/>
              </w:rPr>
            </w:r>
          </w:p>
        </w:tc>
        <w:tc>
          <w:tcPr>
            <w:tcW w:w="6122" w:type="dxa"/>
            <w:tcBorders/>
          </w:tcPr>
          <w:p>
            <w:pPr>
              <w:pStyle w:val="Normal"/>
              <w:spacing w:lineRule="auto" w:line="240" w:before="0" w:after="0"/>
              <w:jc w:val="center"/>
              <w:rPr>
                <w:rFonts w:ascii="Times New Roman" w:hAnsi="Times New Roman" w:cs="Times New Roman"/>
                <w:b/>
                <w:sz w:val="24"/>
                <w:szCs w:val="24"/>
              </w:rPr>
            </w:pPr>
            <w:r>
              <w:rPr>
                <w:rFonts w:cs="Times New Roman" w:ascii="Times New Roman" w:hAnsi="Times New Roman"/>
                <w:b/>
                <w:sz w:val="24"/>
                <w:szCs w:val="24"/>
              </w:rPr>
              <w:t>CỘNG HÒA XÃ HỘI CHỦ NGHĨA VIỆT NAM</w:t>
            </w:r>
          </w:p>
          <w:p>
            <w:pPr>
              <w:pStyle w:val="Normal"/>
              <w:spacing w:lineRule="auto" w:line="240" w:before="0" w:after="0"/>
              <w:jc w:val="center"/>
              <w:rPr/>
            </w:pPr>
            <w:r>
              <w:rPr>
                <w:rFonts w:cs="Times New Roman" w:ascii="Times New Roman" w:hAnsi="Times New Roman"/>
                <w:b/>
                <w:sz w:val="24"/>
                <w:szCs w:val="24"/>
                <w:u w:val="single"/>
              </w:rPr>
              <w:t>Độc lập – Tự do – Hạnh  phúc</w:t>
            </w:r>
          </w:p>
          <w:p>
            <w:pPr>
              <w:pStyle w:val="Normal"/>
              <w:spacing w:lineRule="auto" w:line="240"/>
              <w:ind w:left="630" w:right="0"/>
              <w:jc w:val="both"/>
              <w:rPr>
                <w:rFonts w:ascii="Times New Roman" w:hAnsi="Times New Roman" w:cs="Times New Roman"/>
                <w:b/>
                <w:i/>
                <w:i/>
                <w:sz w:val="26"/>
                <w:szCs w:val="26"/>
                <w:u w:val="single"/>
              </w:rPr>
            </w:pPr>
            <w:r>
              <w:rPr>
                <w:rFonts w:cs="Times New Roman" w:ascii="Times New Roman" w:hAnsi="Times New Roman"/>
                <w:b/>
                <w:i/>
                <w:sz w:val="26"/>
                <w:szCs w:val="26"/>
                <w:u w:val="single"/>
              </w:rPr>
            </w:r>
          </w:p>
          <w:p>
            <w:pPr>
              <w:pStyle w:val="Normal"/>
              <w:spacing w:lineRule="auto" w:line="240"/>
              <w:ind w:left="630" w:right="0"/>
              <w:jc w:val="both"/>
              <w:rPr>
                <w:rFonts w:ascii="Times New Roman" w:hAnsi="Times New Roman" w:cs="Times New Roman"/>
                <w:i/>
                <w:i/>
                <w:sz w:val="26"/>
                <w:szCs w:val="26"/>
              </w:rPr>
            </w:pPr>
            <w:r>
              <w:rPr>
                <w:rFonts w:cs="Times New Roman" w:ascii="Times New Roman" w:hAnsi="Times New Roman"/>
                <w:i/>
                <w:sz w:val="26"/>
                <w:szCs w:val="26"/>
              </w:rPr>
              <w:t xml:space="preserve">Hà Nội, ngày       tháng </w:t>
            </w:r>
            <w:r>
              <w:rPr>
                <w:rFonts w:cs="Times New Roman" w:ascii="Times New Roman" w:hAnsi="Times New Roman"/>
                <w:i/>
                <w:sz w:val="26"/>
                <w:szCs w:val="26"/>
                <w:lang w:val="vi-VN"/>
              </w:rPr>
              <w:t xml:space="preserve">   </w:t>
            </w:r>
            <w:r>
              <w:rPr>
                <w:rFonts w:cs="Times New Roman" w:ascii="Times New Roman" w:hAnsi="Times New Roman"/>
                <w:i/>
                <w:sz w:val="26"/>
                <w:szCs w:val="26"/>
              </w:rPr>
              <w:t xml:space="preserve"> năm </w:t>
            </w:r>
          </w:p>
          <w:p>
            <w:pPr>
              <w:pStyle w:val="Normal"/>
              <w:spacing w:lineRule="auto" w:line="240" w:before="0" w:after="0"/>
              <w:jc w:val="center"/>
              <w:rPr>
                <w:rFonts w:ascii="Times New Roman" w:hAnsi="Times New Roman" w:cs="Times New Roman"/>
                <w:b/>
                <w:i/>
                <w:i/>
                <w:sz w:val="24"/>
                <w:szCs w:val="24"/>
              </w:rPr>
            </w:pPr>
            <w:r>
              <w:rPr>
                <w:rFonts w:cs="Times New Roman" w:ascii="Times New Roman" w:hAnsi="Times New Roman"/>
                <w:b/>
                <w:i/>
                <w:sz w:val="24"/>
                <w:szCs w:val="24"/>
              </w:rPr>
            </w:r>
          </w:p>
        </w:tc>
      </w:tr>
    </w:tbl>
    <w:p>
      <w:pPr>
        <w:pStyle w:val="Normal"/>
        <w:spacing w:lineRule="exact" w:line="36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exact" w:line="360" w:before="0" w:after="0"/>
        <w:jc w:val="center"/>
        <w:rPr>
          <w:rFonts w:ascii="Times New Roman" w:hAnsi="Times New Roman" w:cs="Times New Roman"/>
          <w:b/>
          <w:sz w:val="32"/>
          <w:szCs w:val="32"/>
        </w:rPr>
      </w:pPr>
      <w:r>
        <w:rPr>
          <w:rFonts w:cs="Times New Roman" w:ascii="Times New Roman" w:hAnsi="Times New Roman"/>
          <w:b/>
          <w:sz w:val="32"/>
          <w:szCs w:val="32"/>
        </w:rPr>
        <w:t>QUY ĐỊNH</w:t>
      </w:r>
    </w:p>
    <w:p>
      <w:pPr>
        <w:pStyle w:val="Normal"/>
        <w:spacing w:lineRule="exact" w:line="360" w:before="0" w:after="0"/>
        <w:jc w:val="center"/>
        <w:rPr/>
      </w:pPr>
      <w:r>
        <w:rPr>
          <w:rFonts w:cs="Times New Roman" w:ascii="Times New Roman" w:hAnsi="Times New Roman"/>
          <w:b/>
          <w:sz w:val="26"/>
          <w:szCs w:val="26"/>
        </w:rPr>
        <w:t>Phân quyền phê duyệt giá đặc biệt</w:t>
      </w:r>
      <w:r>
        <w:rPr>
          <w:rFonts w:cs="Times New Roman" w:ascii="Times New Roman" w:hAnsi="Times New Roman"/>
          <w:sz w:val="26"/>
          <w:szCs w:val="26"/>
        </w:rPr>
        <w:t xml:space="preserve"> </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exact" w:line="360" w:before="0" w:after="0"/>
        <w:jc w:val="both"/>
        <w:rPr>
          <w:rFonts w:ascii="Times New Roman" w:hAnsi="Times New Roman" w:cs="Times New Roman"/>
          <w:b/>
          <w:sz w:val="26"/>
          <w:szCs w:val="26"/>
        </w:rPr>
      </w:pPr>
      <w:r>
        <w:rPr>
          <w:rFonts w:cs="Times New Roman" w:ascii="Times New Roman" w:hAnsi="Times New Roman"/>
          <w:b/>
          <w:sz w:val="26"/>
          <w:szCs w:val="26"/>
        </w:rPr>
        <w:t>1. Mục đích:</w:t>
      </w:r>
    </w:p>
    <w:p>
      <w:pPr>
        <w:pStyle w:val="Normal"/>
        <w:spacing w:lineRule="exact" w:line="360" w:before="0" w:after="0"/>
        <w:ind w:firstLine="720" w:right="0"/>
        <w:jc w:val="both"/>
        <w:rPr>
          <w:rFonts w:ascii="Times New Roman" w:hAnsi="Times New Roman" w:cs="Times New Roman"/>
          <w:sz w:val="26"/>
          <w:szCs w:val="26"/>
        </w:rPr>
      </w:pPr>
      <w:r>
        <w:rPr>
          <w:rFonts w:cs="Times New Roman" w:ascii="Times New Roman" w:hAnsi="Times New Roman"/>
          <w:sz w:val="26"/>
          <w:szCs w:val="26"/>
        </w:rPr>
        <w:t>Để chủ động trong việc phê duyệt giá trong các trường hợp đặc biệt khi có sự biến động của thị trường về nhu cần vận chuyển hàng hóa trên các tuyến dịch vụ.</w:t>
      </w:r>
    </w:p>
    <w:p>
      <w:pPr>
        <w:pStyle w:val="Normal"/>
        <w:spacing w:lineRule="exact" w:line="360" w:before="0" w:after="0"/>
        <w:jc w:val="both"/>
        <w:rPr/>
      </w:pPr>
      <w:r>
        <w:rPr>
          <w:rFonts w:cs="Times New Roman" w:ascii="Times New Roman" w:hAnsi="Times New Roman"/>
          <w:b/>
          <w:sz w:val="26"/>
          <w:szCs w:val="26"/>
        </w:rPr>
        <w:t>2. Phạm vi áp dụng:</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t>Quy định được áp dụng đối với các bộ phận thuộc Trung tâm khai thác tàu container, Văn phòng trực thuộc của Trung tâm tại Hải Phòng và Hồ Chí Minh, các đại lý và phòng Tài chính - Kế toán.</w:t>
      </w:r>
    </w:p>
    <w:p>
      <w:pPr>
        <w:pStyle w:val="Normal"/>
        <w:spacing w:lineRule="exact" w:line="360" w:before="0" w:after="0"/>
        <w:jc w:val="both"/>
        <w:rPr>
          <w:rFonts w:ascii="Times New Roman" w:hAnsi="Times New Roman" w:cs="Times New Roman"/>
          <w:b/>
          <w:sz w:val="26"/>
          <w:szCs w:val="26"/>
        </w:rPr>
      </w:pPr>
      <w:r>
        <w:rPr>
          <w:rFonts w:cs="Times New Roman" w:ascii="Times New Roman" w:hAnsi="Times New Roman"/>
          <w:b/>
          <w:sz w:val="26"/>
          <w:szCs w:val="26"/>
        </w:rPr>
        <w:t>3. Các trường hợp phê duyệt giá giảm so với chính sách</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t>-  Khách hàng có sản lượng lớn, kí hợp đồng vận chuyển thường xuyên;</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t>-  Khách hàng vận chuyển hàng nhẹ;</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t>- Trường hợp bất bình hành vỏ container, trường hợp cần gom hàng khi thị trường giảm theo mùa vụ và các trường hợp đặc biệt khác.</w:t>
      </w:r>
    </w:p>
    <w:p>
      <w:pPr>
        <w:pStyle w:val="Normal"/>
        <w:spacing w:lineRule="exact" w:line="360" w:before="0" w:after="0"/>
        <w:jc w:val="both"/>
        <w:rPr>
          <w:rFonts w:ascii="Times New Roman" w:hAnsi="Times New Roman" w:cs="Times New Roman"/>
          <w:b/>
          <w:sz w:val="26"/>
          <w:szCs w:val="26"/>
        </w:rPr>
      </w:pPr>
      <w:r>
        <w:rPr>
          <w:rFonts w:cs="Times New Roman" w:ascii="Times New Roman" w:hAnsi="Times New Roman"/>
          <w:b/>
          <w:sz w:val="26"/>
          <w:szCs w:val="26"/>
        </w:rPr>
        <w:t>4. Quyền và hạn mức phê duyệt giá</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t>- Chuyên viên tổ Chính sách thuộc</w:t>
      </w:r>
      <w:r>
        <w:rPr>
          <w:rFonts w:cs="Times New Roman" w:ascii="Times New Roman" w:hAnsi="Times New Roman"/>
          <w:sz w:val="26"/>
          <w:szCs w:val="26"/>
          <w:lang w:val="vi-VN"/>
        </w:rPr>
        <w:t xml:space="preserve"> </w:t>
      </w:r>
      <w:r>
        <w:rPr>
          <w:rFonts w:cs="Times New Roman" w:ascii="Times New Roman" w:hAnsi="Times New Roman"/>
          <w:sz w:val="26"/>
          <w:szCs w:val="26"/>
        </w:rPr>
        <w:t>bộ phận Thương vụ: Giảm trừ tối đa 200.000 vnd/container áp dụng cho cả container 20feet và 40feet.</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t>- Trưởng/Phó phụ trách bộ phận Thương vụ: Giảm trừ tối đa 300.000vnd/ container áp dụng cho cả container 20feet và 40feet. Đối với hàng nhẹ giảm tối đa 500.000vnd/container (hàng nhẹ từ Hải Phòng đi Hồ Chí Mính được quy định dưới 10 tấn/container; hàng nhẹ từ Hồ Chí Minh đi Hải Phòng được quy định dưới 15 tấn/container bao gồm tải trọng vỏ container).</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t xml:space="preserve">- Giám đốc Trung tâm: Giảm trừ từ 300.000vnd/ container trở lên. </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t>- Mức giảm trừ trên là mức giảm trừ so với giá ban hành theo từng thời điểm.</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t>- Mức giảm trừ trên là mức giảm trừ đã bao gồm VAT.</w:t>
      </w:r>
    </w:p>
    <w:p>
      <w:pPr>
        <w:pStyle w:val="Normal"/>
        <w:spacing w:lineRule="exact" w:line="360" w:before="0" w:after="0"/>
        <w:jc w:val="both"/>
        <w:rPr/>
      </w:pPr>
      <w:r>
        <w:rPr>
          <w:rFonts w:cs="Times New Roman" w:ascii="Times New Roman" w:hAnsi="Times New Roman"/>
          <w:b/>
          <w:sz w:val="26"/>
          <w:szCs w:val="26"/>
        </w:rPr>
        <w:t>5. Nguyên tắc, thủ tục xét duyệt</w:t>
      </w:r>
    </w:p>
    <w:p>
      <w:pPr>
        <w:pStyle w:val="Normal"/>
        <w:spacing w:lineRule="exact" w:line="360" w:before="0" w:after="0"/>
        <w:ind w:firstLine="629" w:right="0"/>
        <w:jc w:val="both"/>
        <w:rPr/>
      </w:pPr>
      <w:r>
        <w:rPr>
          <w:rFonts w:eastAsia="Times New Roman" w:cs="Times New Roman" w:ascii="Times New Roman" w:hAnsi="Times New Roman"/>
          <w:sz w:val="26"/>
          <w:szCs w:val="26"/>
        </w:rPr>
        <w:t xml:space="preserve"> </w:t>
      </w:r>
      <w:r>
        <w:rPr>
          <w:rFonts w:cs="Times New Roman" w:ascii="Times New Roman" w:hAnsi="Times New Roman"/>
          <w:sz w:val="26"/>
          <w:szCs w:val="26"/>
        </w:rPr>
        <w:t>- Đối với mức giảm trừ nằm trong phạm vi phê duyệt của Bộ phận Thương Vụ: trên cơ sở đề nghị của nhân viên bán hàng tại các bộ phận, các văn phòng trực thuộc Trung tâm, các đại lý về việc xin giá đặc biệt trên phần mềm, Bộ phận Thương Vụ xem xét và phê duyệt trên phần mềm.</w:t>
      </w:r>
    </w:p>
    <w:p>
      <w:pPr>
        <w:pStyle w:val="Normal"/>
        <w:spacing w:lineRule="exact" w:line="360" w:before="0" w:after="0"/>
        <w:ind w:firstLine="629" w:right="0"/>
        <w:jc w:val="both"/>
        <w:rPr>
          <w:rFonts w:ascii="Times New Roman" w:hAnsi="Times New Roman" w:cs="Times New Roman"/>
          <w:sz w:val="26"/>
          <w:szCs w:val="26"/>
        </w:rPr>
      </w:pPr>
      <w:r>
        <w:rPr>
          <w:rFonts w:eastAsia="Times New Roman" w:cs="Times New Roman" w:ascii="Times New Roman" w:hAnsi="Times New Roman"/>
          <w:sz w:val="26"/>
          <w:szCs w:val="26"/>
        </w:rPr>
        <w:t xml:space="preserve"> </w:t>
      </w:r>
      <w:r>
        <w:rPr>
          <w:rFonts w:cs="Times New Roman" w:ascii="Times New Roman" w:hAnsi="Times New Roman"/>
          <w:sz w:val="26"/>
          <w:szCs w:val="26"/>
        </w:rPr>
        <w:t>- Đối với mức giảm trừ cần có phê duyệt của Giám đốc Trung tâm: trên cơ sở đề nghị của nhân viên bán hàng tại các bộ phận, các văn phòng trực thuộc Trung tâm, các đại lý, Bộ phận Thương vụ sẽ gửi email lấy xác nhận phê duyệt của Giám đốc Trung tâm. Sau khi có xác nhận bằng email của Giám đốc Trung tâm bộ phân Thương vụ thực hiện phê duyệt giá trên phần mềm. Trường hợp cần gấp Bộ phận Thương vụ có thể lấy xác nhận của Giám đốc Trung tâm qua điện thoại sau đó hoàn thiện thủ tục theo quy định trên trong ngày làm việc tiếp theo.</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t>- Đối với hàng hóa SOC (không sử dụng vỏ container của Công ty)</w:t>
      </w:r>
    </w:p>
    <w:p>
      <w:pPr>
        <w:pStyle w:val="Normal"/>
        <w:spacing w:lineRule="exact" w:line="360" w:before="0" w:after="0"/>
        <w:ind w:firstLine="629" w:right="0"/>
        <w:jc w:val="both"/>
        <w:rPr/>
      </w:pPr>
      <w:r>
        <w:rPr>
          <w:rFonts w:cs="Times New Roman" w:ascii="Times New Roman" w:hAnsi="Times New Roman"/>
          <w:sz w:val="26"/>
          <w:szCs w:val="26"/>
        </w:rPr>
        <w:t>+ Hàng SOC của các khách hàng nội địa: Quyền và hạn mức phê duyệt giá áp dụng như mục 4 của Quy định này.</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t>+ Hàng SOC của các khách hàng quốc tế và vỏ rỗng cước sẽ được phê duyệt theo từng trường hợp cụ thể. Giám đốc Trung tâm phê duyệt giá đối với hàng SOC của khách hàng quốc tế và vỏ rỗng.</w:t>
      </w:r>
    </w:p>
    <w:p>
      <w:pPr>
        <w:pStyle w:val="Normal"/>
        <w:spacing w:lineRule="exact" w:line="360" w:before="0" w:after="0"/>
        <w:ind w:firstLine="629" w:right="0"/>
        <w:jc w:val="both"/>
        <w:rPr/>
      </w:pPr>
      <w:r>
        <w:rPr>
          <w:rFonts w:cs="Times New Roman" w:ascii="Times New Roman" w:hAnsi="Times New Roman"/>
          <w:sz w:val="26"/>
          <w:szCs w:val="26"/>
        </w:rPr>
        <w:t>- Việc phê duyệt giá đặc biệt được thực hiện trên phần mềm và cập nhật tới phòng Tài chính kế toán bằng Freight Manifest khi xuất hóa đơn giá trị gia tăng.</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t>- Cán bộ nhân viên thuộc phạm vi áp dụng quy định này đều phải tuân thủ và có trách nhiệm thực hiện đúng theo quy định.</w:t>
      </w:r>
    </w:p>
    <w:p>
      <w:pPr>
        <w:pStyle w:val="Normal"/>
        <w:spacing w:lineRule="exact" w:line="360" w:before="0" w:after="0"/>
        <w:jc w:val="both"/>
        <w:rPr/>
      </w:pPr>
      <w:r>
        <w:rPr>
          <w:rFonts w:cs="Times New Roman" w:ascii="Times New Roman" w:hAnsi="Times New Roman"/>
          <w:b/>
          <w:sz w:val="26"/>
          <w:szCs w:val="26"/>
        </w:rPr>
        <w:t>6. Thời gian áp dụng:</w:t>
      </w:r>
    </w:p>
    <w:p>
      <w:pPr>
        <w:pStyle w:val="Normal"/>
        <w:spacing w:lineRule="exact" w:line="360" w:before="0" w:after="0"/>
        <w:ind w:firstLine="629" w:right="0"/>
        <w:jc w:val="both"/>
        <w:rPr>
          <w:rFonts w:ascii="Times New Roman" w:hAnsi="Times New Roman" w:cs="Times New Roman"/>
          <w:sz w:val="26"/>
          <w:szCs w:val="26"/>
        </w:rPr>
      </w:pPr>
      <w:r>
        <w:rPr>
          <w:rFonts w:eastAsia="Times New Roman" w:cs="Times New Roman" w:ascii="Times New Roman" w:hAnsi="Times New Roman"/>
          <w:sz w:val="26"/>
          <w:szCs w:val="26"/>
        </w:rPr>
        <w:t xml:space="preserve">  </w:t>
      </w:r>
      <w:r>
        <w:rPr>
          <w:rFonts w:cs="Times New Roman" w:ascii="Times New Roman" w:hAnsi="Times New Roman"/>
          <w:sz w:val="26"/>
          <w:szCs w:val="26"/>
        </w:rPr>
        <w:t>Quy định này có hiệu lực kể từ ngày kí và được sửa đổi, bổ sung cho phù hợp với yêu cầu thực tế trong quá trình thực hiện, quản lý, điều hành sản xuất kinh doanh.</w:t>
      </w:r>
    </w:p>
    <w:p>
      <w:pPr>
        <w:pStyle w:val="Normal"/>
        <w:spacing w:lineRule="auto" w:line="288" w:before="0" w:after="0"/>
        <w:ind w:firstLine="629" w:right="0"/>
        <w:jc w:val="both"/>
        <w:rPr/>
      </w:pPr>
      <w:r>
        <w:rPr>
          <w:rFonts w:cs="Times New Roman" w:ascii="Times New Roman" w:hAnsi="Times New Roman"/>
          <w:sz w:val="26"/>
          <w:szCs w:val="26"/>
        </w:rPr>
        <w:t>Bộ phận Thương vụ chịu trách nhiệm trước Giám đốc Trung tâm về việc phê duyệt giá.</w:t>
      </w:r>
    </w:p>
    <w:p>
      <w:pPr>
        <w:pStyle w:val="Normal"/>
        <w:spacing w:lineRule="auto" w:line="240" w:before="0" w:after="0"/>
        <w:ind w:firstLine="634" w:right="0"/>
        <w:jc w:val="both"/>
        <w:rPr>
          <w:rFonts w:ascii="Times New Roman" w:hAnsi="Times New Roman" w:cs="Times New Roman"/>
          <w:sz w:val="26"/>
          <w:szCs w:val="26"/>
        </w:rPr>
      </w:pPr>
      <w:r>
        <w:rPr>
          <w:rFonts w:cs="Times New Roman" w:ascii="Times New Roman" w:hAnsi="Times New Roman"/>
          <w:sz w:val="26"/>
          <w:szCs w:val="26"/>
        </w:rPr>
        <w:t>Giám đốc Trung tâm chịu trách nhiệm trước Giám đốc Công ty về việc phê duyệt giá theo đúng các quy định của Công ty và pháp luật có liên quan.</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ind w:firstLine="4320" w:left="634" w:right="0"/>
        <w:jc w:val="both"/>
        <w:rPr/>
      </w:pPr>
      <w:r>
        <w:rPr>
          <w:rFonts w:eastAsia="Times New Roman" w:cs="Times New Roman" w:ascii="Times New Roman" w:hAnsi="Times New Roman"/>
          <w:i/>
          <w:sz w:val="26"/>
          <w:szCs w:val="26"/>
        </w:rPr>
        <w:t xml:space="preserve">    </w:t>
      </w:r>
      <w:r>
        <w:rPr>
          <w:rFonts w:eastAsia="Times New Roman" w:cs="Times New Roman" w:ascii="Times New Roman" w:hAnsi="Times New Roman"/>
          <w:b/>
          <w:sz w:val="26"/>
          <w:szCs w:val="26"/>
        </w:rPr>
        <w:t xml:space="preserve">        </w:t>
      </w:r>
      <w:r>
        <w:rPr>
          <w:rFonts w:cs="Times New Roman" w:ascii="Times New Roman" w:hAnsi="Times New Roman"/>
          <w:b/>
          <w:sz w:val="26"/>
          <w:szCs w:val="26"/>
        </w:rPr>
        <w:t>KT GIÁM ĐỐC</w:t>
      </w:r>
    </w:p>
    <w:p>
      <w:pPr>
        <w:pStyle w:val="Normal"/>
        <w:spacing w:lineRule="auto" w:line="240" w:before="0" w:after="0"/>
        <w:ind w:firstLine="4320" w:left="634" w:right="0"/>
        <w:jc w:val="both"/>
        <w:rPr>
          <w:rFonts w:ascii="Times New Roman" w:hAnsi="Times New Roman" w:cs="Times New Roman"/>
          <w:b/>
          <w:sz w:val="26"/>
          <w:szCs w:val="26"/>
        </w:rPr>
      </w:pPr>
      <w:r>
        <w:rPr>
          <w:rFonts w:eastAsia="Times New Roman" w:cs="Times New Roman" w:ascii="Times New Roman" w:hAnsi="Times New Roman"/>
          <w:b/>
          <w:sz w:val="26"/>
          <w:szCs w:val="26"/>
        </w:rPr>
        <w:t xml:space="preserve">          </w:t>
      </w:r>
      <w:r>
        <w:rPr>
          <w:rFonts w:cs="Times New Roman" w:ascii="Times New Roman" w:hAnsi="Times New Roman"/>
          <w:b/>
          <w:sz w:val="26"/>
          <w:szCs w:val="26"/>
        </w:rPr>
        <w:t>PHÓ GIÁM ĐỐC</w:t>
      </w:r>
    </w:p>
    <w:p>
      <w:pPr>
        <w:pStyle w:val="Normal"/>
        <w:spacing w:lineRule="auto" w:line="240" w:before="0" w:after="0"/>
        <w:jc w:val="both"/>
        <w:rPr>
          <w:rFonts w:ascii="Times New Roman" w:hAnsi="Times New Roman" w:cs="Times New Roman"/>
          <w:b/>
          <w:i/>
          <w:i/>
          <w:sz w:val="20"/>
          <w:szCs w:val="20"/>
          <w:u w:val="single"/>
        </w:rPr>
      </w:pPr>
      <w:r>
        <w:rPr>
          <w:rFonts w:cs="Times New Roman" w:ascii="Times New Roman" w:hAnsi="Times New Roman"/>
          <w:b/>
          <w:i/>
          <w:sz w:val="20"/>
          <w:szCs w:val="20"/>
          <w:u w:val="single"/>
        </w:rPr>
        <w:t xml:space="preserve">Nơi nhận: </w:t>
      </w:r>
    </w:p>
    <w:p>
      <w:pPr>
        <w:pStyle w:val="Normal"/>
        <w:spacing w:lineRule="auto" w:line="240" w:before="0" w:after="0"/>
        <w:jc w:val="both"/>
        <w:rPr/>
      </w:pPr>
      <w:r>
        <w:rPr>
          <w:rFonts w:cs="Times New Roman" w:ascii="Times New Roman" w:hAnsi="Times New Roman"/>
          <w:sz w:val="20"/>
          <w:szCs w:val="20"/>
        </w:rPr>
        <w:t>- Bộ phận Thương vụ</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Phòng TCKT</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Ban Giám đốc</w:t>
      </w:r>
    </w:p>
    <w:p>
      <w:pPr>
        <w:pStyle w:val="Normal"/>
        <w:spacing w:lineRule="auto" w:line="240"/>
        <w:jc w:val="both"/>
        <w:rPr>
          <w:rFonts w:ascii="Times New Roman" w:hAnsi="Times New Roman" w:cs="Times New Roman"/>
          <w:b/>
          <w:sz w:val="26"/>
          <w:szCs w:val="26"/>
        </w:rPr>
      </w:pPr>
      <w:r>
        <w:rPr>
          <w:rFonts w:cs="Times New Roman" w:ascii="Times New Roman" w:hAnsi="Times New Roman"/>
          <w:b/>
          <w:sz w:val="26"/>
          <w:szCs w:val="26"/>
        </w:rPr>
      </w:r>
    </w:p>
    <w:p>
      <w:pPr>
        <w:pStyle w:val="Normal"/>
        <w:spacing w:lineRule="auto" w:line="240"/>
        <w:ind w:firstLine="4320" w:left="630" w:right="0"/>
        <w:jc w:val="both"/>
        <w:rPr/>
      </w:pPr>
      <w:r>
        <w:rPr>
          <w:rFonts w:eastAsia="Times New Roman" w:cs="Times New Roman" w:ascii="Times New Roman" w:hAnsi="Times New Roman"/>
          <w:b/>
          <w:sz w:val="26"/>
          <w:szCs w:val="26"/>
        </w:rPr>
        <w:t xml:space="preserve">          </w:t>
      </w:r>
      <w:r>
        <w:rPr>
          <w:rFonts w:cs="Times New Roman" w:ascii="Times New Roman" w:hAnsi="Times New Roman"/>
          <w:b/>
          <w:sz w:val="26"/>
          <w:szCs w:val="26"/>
        </w:rPr>
        <w:t>Đỗ Thị Ngọc Trang</w:t>
      </w:r>
      <w:r>
        <w:rPr>
          <w:b/>
        </w:rPr>
        <w:t xml:space="preserve"> </w:t>
      </w:r>
    </w:p>
    <w:p>
      <w:pPr>
        <w:pStyle w:val="Normal"/>
        <w:spacing w:lineRule="exact" w:line="360" w:before="0" w:after="0"/>
        <w:jc w:val="both"/>
        <w:rPr>
          <w:rFonts w:ascii="Times New Roman" w:hAnsi="Times New Roman" w:cs="Times New Roman"/>
          <w:b/>
          <w:sz w:val="26"/>
          <w:szCs w:val="26"/>
        </w:rPr>
      </w:pPr>
      <w:r>
        <w:rPr>
          <w:rFonts w:cs="Times New Roman" w:ascii="Times New Roman" w:hAnsi="Times New Roman"/>
          <w:b/>
          <w:sz w:val="26"/>
          <w:szCs w:val="26"/>
        </w:rPr>
      </w:r>
    </w:p>
    <w:p>
      <w:pPr>
        <w:pStyle w:val="Normal"/>
        <w:spacing w:lineRule="exact" w:line="36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exact" w:line="36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exact" w:line="36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exact" w:line="36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exact" w:line="36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exact" w:line="36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exact" w:line="360" w:before="0" w:after="0"/>
        <w:jc w:val="both"/>
        <w:rPr>
          <w:rFonts w:ascii="Times New Roman" w:hAnsi="Times New Roman" w:cs="Times New Roman"/>
          <w:sz w:val="26"/>
          <w:szCs w:val="26"/>
        </w:rPr>
      </w:pPr>
      <w:r>
        <w:rPr>
          <w:rFonts w:cs="Times New Roman" w:ascii="Times New Roman" w:hAnsi="Times New Roman"/>
          <w:sz w:val="26"/>
          <w:szCs w:val="26"/>
        </w:rPr>
      </w:r>
    </w:p>
    <w:sectPr>
      <w:headerReference w:type="default" r:id="rId2"/>
      <w:footerReference w:type="default" r:id="rId3"/>
      <w:type w:val="nextPage"/>
      <w:pgSz w:w="11906" w:h="16838"/>
      <w:pgMar w:left="1701" w:right="1134" w:gutter="0" w:header="720" w:top="1134" w:footer="0" w:bottom="99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w:t>
    </w:r>
    <w:r>
      <w:rPr/>
      <w:fldChar w:fldCharType="end"/>
    </w:r>
  </w:p>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rFonts w:ascii="Times New Roman" w:hAnsi="Times New Roman" w:eastAsia="Calibri" w:cs="Times New Roman"/>
      <w:b/>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Calibri"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Calibri"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rFonts w:ascii="Times New Roman" w:hAnsi="Times New Roman" w:eastAsia="Calibri"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Calibri"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rFonts w:ascii="Times New Roman" w:hAnsi="Times New Roman" w:eastAsia="Calibri"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Calibri"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Calibri"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style>
  <w:style w:type="character" w:styleId="WW8Num15z0">
    <w:name w:val="WW8Num15z0"/>
    <w:qFormat/>
    <w:rPr>
      <w:rFonts w:ascii="Times New Roman" w:hAnsi="Times New Roman" w:eastAsia="Calibri"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Calibri"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Calibri" w:cs="Times New Roman"/>
      <w:b w:val="false"/>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character" w:styleId="HeaderChar">
    <w:name w:val="Header Char"/>
    <w:qFormat/>
    <w:rPr>
      <w:sz w:val="22"/>
      <w:szCs w:val="22"/>
    </w:rPr>
  </w:style>
  <w:style w:type="character" w:styleId="FooterChar">
    <w:name w:val="Footer Char"/>
    <w:qFormat/>
    <w:rPr>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0" w:after="200"/>
      <w:ind w:hanging="0" w:left="720" w:right="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har">
    <w:name w:val=" Char"/>
    <w:basedOn w:val="Normal"/>
    <w:qFormat/>
    <w:pPr>
      <w:pageBreakBefore/>
      <w:spacing w:lineRule="auto" w:line="240" w:before="280" w:after="280"/>
    </w:pPr>
    <w:rPr>
      <w:rFonts w:ascii="Tahoma" w:hAnsi="Tahoma" w:eastAsia="Times New Roman" w:cs="Tahoma"/>
      <w:sz w:val="20"/>
      <w:szCs w:val="20"/>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2019-03-04T22:49:00Z</dcterms:created>
  <dc:creator>Haiyen</dc:creator>
  <dc:description/>
  <cp:keywords/>
  <dc:language>en-US</dc:language>
  <cp:lastModifiedBy>Ngo Hai Yen</cp:lastModifiedBy>
  <cp:lastPrinted>2019-02-27T10:49:00Z</cp:lastPrinted>
  <dcterms:modified xsi:type="dcterms:W3CDTF">2019-03-04T23:11:00Z</dcterms:modified>
  <cp:revision>8</cp:revision>
  <dc:subject/>
  <dc:title/>
</cp:coreProperties>
</file>