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227" w:type="dxa"/>
        <w:jc w:val="left"/>
        <w:tblInd w:w="-176" w:type="dxa"/>
        <w:tblLayout w:type="fixed"/>
        <w:tblCellMar>
          <w:top w:w="0" w:type="dxa"/>
          <w:left w:w="108" w:type="dxa"/>
          <w:bottom w:w="0" w:type="dxa"/>
          <w:right w:w="108" w:type="dxa"/>
        </w:tblCellMar>
      </w:tblPr>
      <w:tblGrid>
        <w:gridCol w:w="4466"/>
        <w:gridCol w:w="5761"/>
      </w:tblGrid>
      <w:tr>
        <w:trPr>
          <w:trHeight w:val="591" w:hRule="atLeast"/>
        </w:trPr>
        <w:tc>
          <w:tcPr>
            <w:tcW w:w="4466" w:type="dxa"/>
            <w:tcBorders/>
          </w:tcPr>
          <w:p>
            <w:pPr>
              <w:pStyle w:val="Normal"/>
              <w:jc w:val="center"/>
              <w:rPr>
                <w:b/>
                <w:bCs w:val="false"/>
                <w:sz w:val="26"/>
                <w:szCs w:val="26"/>
              </w:rPr>
            </w:pPr>
            <w:r>
              <w:rPr>
                <w:b/>
                <w:bCs w:val="false"/>
                <w:sz w:val="26"/>
                <w:szCs w:val="26"/>
              </w:rPr>
              <w:t>TỔNG CÔNG TY                       HÀNG HẢI VIỆT NAM - CTCP</w:t>
            </w:r>
          </w:p>
        </w:tc>
        <w:tc>
          <w:tcPr>
            <w:tcW w:w="5761" w:type="dxa"/>
            <w:tcBorders/>
          </w:tcPr>
          <w:p>
            <w:pPr>
              <w:pStyle w:val="Normal"/>
              <w:jc w:val="center"/>
              <w:rPr>
                <w:b/>
                <w:bCs w:val="false"/>
                <w:sz w:val="25"/>
                <w:szCs w:val="25"/>
              </w:rPr>
            </w:pPr>
            <w:r>
              <w:rPr>
                <w:b/>
                <w:bCs w:val="false"/>
                <w:sz w:val="25"/>
                <w:szCs w:val="25"/>
              </w:rPr>
              <w:t>CỘNG HOÀ XÃ HỘI CHỦ NGHĨA VIỆT NAM Độc lập - Tự do - Hạnh phúc</w:t>
            </w:r>
          </w:p>
        </w:tc>
      </w:tr>
      <w:tr>
        <w:trPr>
          <w:trHeight w:val="283" w:hRule="atLeast"/>
        </w:trPr>
        <w:tc>
          <w:tcPr>
            <w:tcW w:w="4466" w:type="dxa"/>
            <w:tcBorders/>
          </w:tcPr>
          <w:p>
            <w:pPr>
              <w:pStyle w:val="Normal"/>
              <w:snapToGrid w:val="false"/>
              <w:jc w:val="both"/>
              <w:rPr>
                <w:b/>
                <w:bCs w:val="false"/>
                <w:sz w:val="25"/>
                <w:szCs w:val="25"/>
                <w:lang w:val="en-US" w:eastAsia="en-US"/>
              </w:rPr>
            </w:pPr>
            <w:r>
              <w:rPr>
                <w:b/>
                <w:bCs w:val="false"/>
                <w:sz w:val="25"/>
                <w:szCs w:val="25"/>
                <w:lang w:val="en-US" w:eastAsia="en-US"/>
              </w:rPr>
              <mc:AlternateContent>
                <mc:Choice Requires="wps">
                  <w:drawing>
                    <wp:anchor behindDoc="0" distT="0" distB="0" distL="114935" distR="114935" simplePos="0" locked="0" layoutInCell="1" allowOverlap="1" relativeHeight="3">
                      <wp:simplePos x="0" y="0"/>
                      <wp:positionH relativeFrom="column">
                        <wp:posOffset>1030605</wp:posOffset>
                      </wp:positionH>
                      <wp:positionV relativeFrom="paragraph">
                        <wp:posOffset>37465</wp:posOffset>
                      </wp:positionV>
                      <wp:extent cx="619760" cy="0"/>
                      <wp:effectExtent l="0" t="5080" r="0" b="5080"/>
                      <wp:wrapNone/>
                      <wp:docPr id="1" name=""/>
                      <a:graphic xmlns:a="http://schemas.openxmlformats.org/drawingml/2006/main">
                        <a:graphicData uri="http://schemas.microsoft.com/office/word/2010/wordprocessingShape">
                          <wps:wsp>
                            <wps:cNvSpPr/>
                            <wps:spPr>
                              <a:xfrm>
                                <a:off x="0" y="0"/>
                                <a:ext cx="6199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81.15pt,2.95pt" to="129.9pt,2.95pt" stroked="t" o:allowincell="t" style="position:absolute">
                      <v:stroke color="black" weight="9360" joinstyle="miter" endcap="flat"/>
                      <v:fill o:detectmouseclick="t" on="false"/>
                      <w10:wrap type="none"/>
                    </v:line>
                  </w:pict>
                </mc:Fallback>
              </mc:AlternateContent>
            </w:r>
          </w:p>
        </w:tc>
        <w:tc>
          <w:tcPr>
            <w:tcW w:w="5761" w:type="dxa"/>
            <w:tcBorders/>
          </w:tcPr>
          <w:p>
            <w:pPr>
              <w:pStyle w:val="Normal"/>
              <w:snapToGrid w:val="false"/>
              <w:jc w:val="center"/>
              <w:rPr>
                <w:b/>
                <w:bCs w:val="false"/>
                <w:sz w:val="25"/>
                <w:szCs w:val="25"/>
                <w:lang w:val="en-US" w:eastAsia="en-US"/>
              </w:rPr>
            </w:pPr>
            <w:r>
              <w:rPr>
                <w:b/>
                <w:bCs w:val="false"/>
                <w:sz w:val="25"/>
                <w:szCs w:val="25"/>
                <w:lang w:val="en-US" w:eastAsia="en-US"/>
              </w:rPr>
              <mc:AlternateContent>
                <mc:Choice Requires="wps">
                  <w:drawing>
                    <wp:anchor behindDoc="0" distT="0" distB="0" distL="114935" distR="114935" simplePos="0" locked="0" layoutInCell="1" allowOverlap="1" relativeHeight="2">
                      <wp:simplePos x="0" y="0"/>
                      <wp:positionH relativeFrom="column">
                        <wp:posOffset>1096010</wp:posOffset>
                      </wp:positionH>
                      <wp:positionV relativeFrom="paragraph">
                        <wp:posOffset>37465</wp:posOffset>
                      </wp:positionV>
                      <wp:extent cx="1343025" cy="0"/>
                      <wp:effectExtent l="0" t="5080" r="0" b="5080"/>
                      <wp:wrapNone/>
                      <wp:docPr id="2" name=""/>
                      <a:graphic xmlns:a="http://schemas.openxmlformats.org/drawingml/2006/main">
                        <a:graphicData uri="http://schemas.microsoft.com/office/word/2010/wordprocessingShape">
                          <wps:wsp>
                            <wps:cNvSpPr/>
                            <wps:spPr>
                              <a:xfrm>
                                <a:off x="0" y="0"/>
                                <a:ext cx="13431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86.3pt,2.95pt" to="192pt,2.95pt" stroked="t" o:allowincell="t" style="position:absolute">
                      <v:stroke color="black" weight="9360" joinstyle="miter" endcap="flat"/>
                      <v:fill o:detectmouseclick="t" on="false"/>
                      <w10:wrap type="none"/>
                    </v:line>
                  </w:pict>
                </mc:Fallback>
              </mc:AlternateContent>
            </w:r>
          </w:p>
        </w:tc>
      </w:tr>
      <w:tr>
        <w:trPr>
          <w:trHeight w:val="86" w:hRule="atLeast"/>
        </w:trPr>
        <w:tc>
          <w:tcPr>
            <w:tcW w:w="4466" w:type="dxa"/>
            <w:tcBorders/>
          </w:tcPr>
          <w:p>
            <w:pPr>
              <w:pStyle w:val="Normal"/>
              <w:jc w:val="center"/>
              <w:rPr/>
            </w:pPr>
            <w:r>
              <w:rPr>
                <w:sz w:val="25"/>
                <w:szCs w:val="25"/>
              </w:rPr>
              <w:t>Số:          /HHVN-PC&amp;QTRR</w:t>
            </w:r>
          </w:p>
          <w:p>
            <w:pPr>
              <w:pStyle w:val="Normal"/>
              <w:jc w:val="center"/>
              <w:rPr>
                <w:sz w:val="25"/>
                <w:szCs w:val="25"/>
              </w:rPr>
            </w:pPr>
            <w:r>
              <w:rPr>
                <w:sz w:val="25"/>
                <w:szCs w:val="25"/>
              </w:rPr>
              <w:t>V/v góp ý đối với dự thảo SOP mua, bán, đóng mới tàu biển.</w:t>
            </w:r>
          </w:p>
        </w:tc>
        <w:tc>
          <w:tcPr>
            <w:tcW w:w="5761" w:type="dxa"/>
            <w:tcBorders/>
          </w:tcPr>
          <w:p>
            <w:pPr>
              <w:pStyle w:val="Normal"/>
              <w:spacing w:before="60" w:after="0"/>
              <w:jc w:val="both"/>
              <w:rPr>
                <w:sz w:val="26"/>
                <w:szCs w:val="26"/>
              </w:rPr>
            </w:pPr>
            <w:r>
              <w:rPr>
                <w:i/>
                <w:iCs/>
                <w:sz w:val="25"/>
                <w:szCs w:val="25"/>
              </w:rPr>
              <w:t xml:space="preserve">                        </w:t>
            </w:r>
            <w:r>
              <w:rPr>
                <w:i/>
                <w:iCs/>
                <w:sz w:val="26"/>
                <w:szCs w:val="26"/>
              </w:rPr>
              <w:t>Hà Nội, ngày      tháng 11 năm 2024</w:t>
            </w:r>
          </w:p>
        </w:tc>
      </w:tr>
    </w:tbl>
    <w:p>
      <w:pPr>
        <w:pStyle w:val="Normal"/>
        <w:jc w:val="both"/>
        <w:rPr>
          <w:sz w:val="6"/>
          <w:szCs w:val="6"/>
        </w:rPr>
      </w:pPr>
      <w:r>
        <w:rPr>
          <w:sz w:val="24"/>
          <w:szCs w:val="24"/>
        </w:rPr>
        <w:t xml:space="preserve"> </w:t>
      </w:r>
    </w:p>
    <w:p>
      <w:pPr>
        <w:pStyle w:val="Normal"/>
        <w:spacing w:before="360" w:after="0"/>
        <w:ind w:hanging="1146" w:left="720" w:right="0"/>
        <w:jc w:val="both"/>
        <w:rPr/>
      </w:pPr>
      <w:r>
        <w:rPr/>
        <w:t xml:space="preserve">                </w:t>
      </w:r>
      <w:r>
        <w:rPr/>
        <w:t xml:space="preserve">Kính gửi: </w:t>
        <w:tab/>
        <w:t>- Ban CMNV Tổng công ty: VTB, PC&amp;QTRR,</w:t>
      </w:r>
      <w:r>
        <w:rPr>
          <w:lang w:val="vi-VN"/>
        </w:rPr>
        <w:t xml:space="preserve"> </w:t>
      </w:r>
      <w:r>
        <w:rPr/>
        <w:t>ĐT;</w:t>
      </w:r>
    </w:p>
    <w:p>
      <w:pPr>
        <w:pStyle w:val="Normal"/>
        <w:ind w:firstLine="786" w:left="1374" w:right="0"/>
        <w:jc w:val="both"/>
        <w:rPr/>
      </w:pPr>
      <w:r>
        <w:rPr/>
        <w:t>- Các DNTV của Tổng công ty khối VTB.</w:t>
      </w:r>
    </w:p>
    <w:p>
      <w:pPr>
        <w:pStyle w:val="Normal"/>
        <w:spacing w:lineRule="auto" w:line="288"/>
        <w:ind w:firstLine="567" w:right="0"/>
        <w:jc w:val="both"/>
        <w:rPr>
          <w:sz w:val="16"/>
          <w:szCs w:val="16"/>
        </w:rPr>
      </w:pPr>
      <w:r>
        <w:rPr>
          <w:sz w:val="16"/>
          <w:szCs w:val="16"/>
        </w:rPr>
      </w:r>
    </w:p>
    <w:p>
      <w:pPr>
        <w:pStyle w:val="Normal"/>
        <w:ind w:firstLine="720" w:right="0"/>
        <w:jc w:val="both"/>
        <w:rPr>
          <w:sz w:val="16"/>
          <w:szCs w:val="16"/>
          <w:lang w:val="vi-VN"/>
        </w:rPr>
      </w:pPr>
      <w:r>
        <w:rPr>
          <w:sz w:val="16"/>
          <w:szCs w:val="16"/>
          <w:lang w:val="vi-VN"/>
        </w:rPr>
      </w:r>
    </w:p>
    <w:p>
      <w:pPr>
        <w:pStyle w:val="Normal"/>
        <w:spacing w:before="0" w:after="80"/>
        <w:ind w:firstLine="720" w:right="0"/>
        <w:jc w:val="both"/>
        <w:rPr>
          <w:lang w:val="vi-VN"/>
        </w:rPr>
      </w:pPr>
      <w:r>
        <w:rPr/>
        <w:t xml:space="preserve">Thực hiện chỉ đạo của Lãnh đạo Tổng công ty về việc xây dựng và chuẩn hóa quy trình để phục vụ cho hoạt động mua, bán, đóng mới tàu biển của các DNTV thuộc khối VTB của Tổng công ty, Tổ SOP VIMC đã xây dựng dự thảo </w:t>
      </w:r>
      <w:r>
        <w:rPr>
          <w:lang w:val="vi-VN"/>
        </w:rPr>
        <w:t>“</w:t>
      </w:r>
      <w:r>
        <w:rPr/>
        <w:t>Quy trình SOP mua, bán, đóng mới tàu biển</w:t>
      </w:r>
      <w:r>
        <w:rPr>
          <w:lang w:val="vi-VN"/>
        </w:rPr>
        <w:t>”</w:t>
      </w:r>
      <w:r>
        <w:rPr/>
        <w:t xml:space="preserve"> (file đính kèm) – đây là</w:t>
      </w:r>
      <w:r>
        <w:rPr>
          <w:lang w:val="vi-VN"/>
        </w:rPr>
        <w:t xml:space="preserve"> cơ sở để các DNTV Khối VTB làm căn cứ triển khai thực hiện</w:t>
      </w:r>
      <w:r>
        <w:rPr/>
        <w:t xml:space="preserve"> các bước của quy trình mua, bán, đóng mới tàu biển</w:t>
      </w:r>
      <w:r>
        <w:rPr>
          <w:lang w:val="vi-VN"/>
        </w:rPr>
        <w:t xml:space="preserve"> nhằm</w:t>
      </w:r>
      <w:r>
        <w:rPr/>
        <w:t xml:space="preserve"> đảm bảo đáp ứng yêu cầu với đặc thù hoạt động của từng doanh nghiệp và phù hợp các quy định có liên quan.</w:t>
      </w:r>
    </w:p>
    <w:p>
      <w:pPr>
        <w:pStyle w:val="Normal"/>
        <w:spacing w:before="0" w:after="80"/>
        <w:ind w:firstLine="720" w:right="0"/>
        <w:jc w:val="both"/>
        <w:rPr/>
      </w:pPr>
      <w:r>
        <w:rPr/>
        <w:t>Tổng công ty đề nghị các Ban CMNV, các DNTV thuộc khối vận tải biển của Tổng công ty có ý kiến góp ý dự thảo Quy trình để hoàn thiện trước khi ban hành.</w:t>
      </w:r>
    </w:p>
    <w:p>
      <w:pPr>
        <w:pStyle w:val="Normal"/>
        <w:spacing w:before="0" w:after="80"/>
        <w:ind w:firstLine="720" w:right="0"/>
        <w:jc w:val="both"/>
        <w:rPr/>
      </w:pPr>
      <w:r>
        <w:rPr/>
        <w:t xml:space="preserve">Ý kiến góp ý xin gửi bằng văn bản qua địa chỉ email: </w:t>
      </w:r>
      <w:hyperlink r:id="rId2">
        <w:r>
          <w:rPr>
            <w:rStyle w:val="Hyperlink"/>
          </w:rPr>
          <w:t>sop@vimc.co</w:t>
        </w:r>
      </w:hyperlink>
      <w:r>
        <w:rPr/>
        <w:t xml:space="preserve"> </w:t>
      </w:r>
      <w:r>
        <w:rPr>
          <w:b/>
        </w:rPr>
        <w:t>trước ngày 27/11/2024.</w:t>
      </w:r>
    </w:p>
    <w:p>
      <w:pPr>
        <w:pStyle w:val="Normal"/>
        <w:spacing w:lineRule="auto" w:line="312" w:before="0" w:after="240"/>
        <w:ind w:firstLine="720" w:right="0"/>
        <w:jc w:val="both"/>
        <w:rPr/>
      </w:pPr>
      <w:r>
        <w:rPr/>
        <w:t>Tổng công ty Hàng hải Việt Nam đề nghị các Ban CMNV, các DNTV triển khai thực hiện theo đúng yêu cầu nêu trên.</w:t>
      </w:r>
    </w:p>
    <w:tbl>
      <w:tblPr>
        <w:tblW w:w="9472" w:type="dxa"/>
        <w:jc w:val="left"/>
        <w:tblInd w:w="0" w:type="dxa"/>
        <w:tblLayout w:type="fixed"/>
        <w:tblCellMar>
          <w:top w:w="0" w:type="dxa"/>
          <w:left w:w="108" w:type="dxa"/>
          <w:bottom w:w="0" w:type="dxa"/>
          <w:right w:w="108" w:type="dxa"/>
        </w:tblCellMar>
      </w:tblPr>
      <w:tblGrid>
        <w:gridCol w:w="4612"/>
        <w:gridCol w:w="4860"/>
      </w:tblGrid>
      <w:tr>
        <w:trPr>
          <w:trHeight w:val="1867" w:hRule="atLeast"/>
        </w:trPr>
        <w:tc>
          <w:tcPr>
            <w:tcW w:w="4612" w:type="dxa"/>
            <w:tcBorders/>
          </w:tcPr>
          <w:p>
            <w:pPr>
              <w:pStyle w:val="Normal"/>
              <w:jc w:val="both"/>
              <w:rPr>
                <w:sz w:val="24"/>
                <w:szCs w:val="26"/>
                <w:lang w:val="it-IT"/>
              </w:rPr>
            </w:pPr>
            <w:r>
              <w:rPr>
                <w:b/>
                <w:bCs w:val="false"/>
                <w:i/>
                <w:iCs/>
                <w:sz w:val="24"/>
                <w:szCs w:val="26"/>
                <w:lang w:val="it-IT"/>
              </w:rPr>
              <w:t>Nơi nhận:</w:t>
            </w:r>
          </w:p>
          <w:p>
            <w:pPr>
              <w:pStyle w:val="Normal"/>
              <w:jc w:val="both"/>
              <w:rPr>
                <w:sz w:val="24"/>
                <w:szCs w:val="26"/>
                <w:lang w:val="it-IT"/>
              </w:rPr>
            </w:pPr>
            <w:r>
              <w:rPr>
                <w:sz w:val="24"/>
                <w:szCs w:val="26"/>
                <w:lang w:val="it-IT"/>
              </w:rPr>
              <w:t>- Như trên;</w:t>
            </w:r>
          </w:p>
          <w:p>
            <w:pPr>
              <w:pStyle w:val="Normal"/>
              <w:jc w:val="both"/>
              <w:rPr>
                <w:sz w:val="24"/>
                <w:szCs w:val="26"/>
                <w:lang w:val="it-IT"/>
              </w:rPr>
            </w:pPr>
            <w:r>
              <w:rPr>
                <w:sz w:val="24"/>
                <w:szCs w:val="26"/>
                <w:lang w:val="it-IT"/>
              </w:rPr>
              <w:t>- TGĐ (để b.cáo);</w:t>
            </w:r>
          </w:p>
          <w:p>
            <w:pPr>
              <w:pStyle w:val="Normal"/>
              <w:jc w:val="both"/>
              <w:rPr>
                <w:sz w:val="24"/>
                <w:szCs w:val="26"/>
                <w:lang w:val="it-IT"/>
              </w:rPr>
            </w:pPr>
            <w:r>
              <w:rPr>
                <w:sz w:val="24"/>
                <w:szCs w:val="26"/>
                <w:lang w:val="it-IT"/>
              </w:rPr>
              <w:t>- P.TGĐ N.N.Ánh (để b.cáo);</w:t>
            </w:r>
          </w:p>
          <w:p>
            <w:pPr>
              <w:pStyle w:val="Normal"/>
              <w:ind w:right="317"/>
              <w:jc w:val="both"/>
              <w:rPr>
                <w:sz w:val="26"/>
                <w:szCs w:val="26"/>
                <w:lang w:val="vi-VN"/>
              </w:rPr>
            </w:pPr>
            <w:r>
              <w:rPr>
                <w:sz w:val="24"/>
                <w:szCs w:val="26"/>
                <w:lang w:val="it-IT"/>
              </w:rPr>
              <w:t>- Lưu: VT, Tổ SOP. T02</w:t>
            </w:r>
          </w:p>
        </w:tc>
        <w:tc>
          <w:tcPr>
            <w:tcW w:w="4860" w:type="dxa"/>
            <w:tcBorders/>
          </w:tcPr>
          <w:p>
            <w:pPr>
              <w:pStyle w:val="Normal"/>
              <w:jc w:val="center"/>
              <w:rPr>
                <w:b/>
                <w:bCs w:val="false"/>
                <w:sz w:val="26"/>
                <w:szCs w:val="26"/>
              </w:rPr>
            </w:pPr>
            <w:r>
              <w:rPr>
                <w:b/>
                <w:bCs w:val="false"/>
                <w:sz w:val="26"/>
                <w:szCs w:val="26"/>
              </w:rPr>
              <w:t>TL. TỔNG GIÁM ĐỐC</w:t>
            </w:r>
          </w:p>
          <w:p>
            <w:pPr>
              <w:pStyle w:val="Normal"/>
              <w:jc w:val="center"/>
              <w:rPr>
                <w:b/>
                <w:bCs w:val="false"/>
                <w:sz w:val="26"/>
                <w:szCs w:val="26"/>
              </w:rPr>
            </w:pPr>
            <w:r>
              <w:rPr>
                <w:b/>
                <w:bCs w:val="false"/>
                <w:sz w:val="26"/>
                <w:szCs w:val="26"/>
              </w:rPr>
              <w:t>TỔ TRƯỞNG TỔ SOP VIMC</w:t>
            </w:r>
          </w:p>
          <w:p>
            <w:pPr>
              <w:pStyle w:val="Normal"/>
              <w:jc w:val="center"/>
              <w:rPr>
                <w:b/>
                <w:bCs w:val="false"/>
                <w:sz w:val="16"/>
                <w:szCs w:val="16"/>
                <w:lang w:val="vi-VN"/>
              </w:rPr>
            </w:pPr>
            <w:r>
              <w:rPr>
                <w:b/>
                <w:bCs w:val="false"/>
                <w:sz w:val="16"/>
                <w:szCs w:val="16"/>
                <w:lang w:val="vi-VN"/>
              </w:rPr>
            </w:r>
          </w:p>
          <w:p>
            <w:pPr>
              <w:pStyle w:val="Normal"/>
              <w:jc w:val="center"/>
              <w:rPr>
                <w:sz w:val="16"/>
                <w:szCs w:val="16"/>
                <w:lang w:val="vi-VN"/>
              </w:rPr>
            </w:pPr>
            <w:r>
              <w:rPr>
                <w:sz w:val="16"/>
                <w:szCs w:val="16"/>
                <w:lang w:val="vi-VN"/>
              </w:rPr>
            </w:r>
          </w:p>
          <w:p>
            <w:pPr>
              <w:pStyle w:val="Normal"/>
              <w:jc w:val="center"/>
              <w:rPr>
                <w:sz w:val="16"/>
                <w:szCs w:val="16"/>
                <w:lang w:val="vi-VN"/>
              </w:rPr>
            </w:pPr>
            <w:r>
              <w:rPr>
                <w:sz w:val="16"/>
                <w:szCs w:val="16"/>
                <w:lang w:val="vi-VN"/>
              </w:rPr>
            </w:r>
          </w:p>
          <w:p>
            <w:pPr>
              <w:pStyle w:val="Normal"/>
              <w:jc w:val="center"/>
              <w:rPr>
                <w:sz w:val="16"/>
                <w:szCs w:val="16"/>
                <w:lang w:val="vi-VN"/>
              </w:rPr>
            </w:pPr>
            <w:r>
              <w:rPr>
                <w:sz w:val="16"/>
                <w:szCs w:val="16"/>
                <w:lang w:val="vi-VN"/>
              </w:rPr>
            </w:r>
          </w:p>
          <w:p>
            <w:pPr>
              <w:pStyle w:val="Normal"/>
              <w:jc w:val="center"/>
              <w:rPr>
                <w:sz w:val="16"/>
                <w:szCs w:val="16"/>
                <w:lang w:val="vi-VN"/>
              </w:rPr>
            </w:pPr>
            <w:r>
              <w:rPr>
                <w:sz w:val="16"/>
                <w:szCs w:val="16"/>
                <w:lang w:val="vi-VN"/>
              </w:rPr>
            </w:r>
          </w:p>
          <w:p>
            <w:pPr>
              <w:pStyle w:val="Normal"/>
              <w:jc w:val="center"/>
              <w:rPr>
                <w:sz w:val="16"/>
                <w:szCs w:val="16"/>
                <w:lang w:val="vi-VN"/>
              </w:rPr>
            </w:pPr>
            <w:r>
              <w:rPr>
                <w:sz w:val="16"/>
                <w:szCs w:val="16"/>
                <w:lang w:val="vi-VN"/>
              </w:rPr>
            </w:r>
          </w:p>
          <w:p>
            <w:pPr>
              <w:pStyle w:val="Normal"/>
              <w:jc w:val="center"/>
              <w:rPr>
                <w:sz w:val="16"/>
                <w:szCs w:val="16"/>
                <w:lang w:val="vi-VN"/>
              </w:rPr>
            </w:pPr>
            <w:r>
              <w:rPr>
                <w:sz w:val="16"/>
                <w:szCs w:val="16"/>
                <w:lang w:val="vi-VN"/>
              </w:rPr>
            </w:r>
          </w:p>
          <w:p>
            <w:pPr>
              <w:pStyle w:val="Normal"/>
              <w:jc w:val="center"/>
              <w:rPr>
                <w:sz w:val="16"/>
                <w:szCs w:val="16"/>
                <w:lang w:val="vi-VN"/>
              </w:rPr>
            </w:pPr>
            <w:r>
              <w:rPr>
                <w:sz w:val="16"/>
                <w:szCs w:val="16"/>
                <w:lang w:val="vi-VN"/>
              </w:rPr>
            </w:r>
          </w:p>
          <w:p>
            <w:pPr>
              <w:pStyle w:val="Normal"/>
              <w:jc w:val="center"/>
              <w:rPr>
                <w:sz w:val="16"/>
                <w:szCs w:val="16"/>
                <w:lang w:val="vi-VN"/>
              </w:rPr>
            </w:pPr>
            <w:r>
              <w:rPr>
                <w:sz w:val="16"/>
                <w:szCs w:val="16"/>
                <w:lang w:val="vi-VN"/>
              </w:rPr>
            </w:r>
          </w:p>
        </w:tc>
      </w:tr>
      <w:tr>
        <w:trPr>
          <w:trHeight w:val="68" w:hRule="atLeast"/>
        </w:trPr>
        <w:tc>
          <w:tcPr>
            <w:tcW w:w="4612" w:type="dxa"/>
            <w:tcBorders/>
          </w:tcPr>
          <w:p>
            <w:pPr>
              <w:pStyle w:val="Normal"/>
              <w:snapToGrid w:val="false"/>
              <w:jc w:val="both"/>
              <w:rPr>
                <w:sz w:val="26"/>
                <w:szCs w:val="26"/>
                <w:lang w:val="vi-VN"/>
              </w:rPr>
            </w:pPr>
            <w:r>
              <w:rPr>
                <w:sz w:val="26"/>
                <w:szCs w:val="26"/>
                <w:lang w:val="vi-VN"/>
              </w:rPr>
            </w:r>
          </w:p>
        </w:tc>
        <w:tc>
          <w:tcPr>
            <w:tcW w:w="4860" w:type="dxa"/>
            <w:tcBorders/>
          </w:tcPr>
          <w:p>
            <w:pPr>
              <w:pStyle w:val="Normal"/>
              <w:jc w:val="center"/>
              <w:rPr>
                <w:b/>
                <w:bCs w:val="false"/>
                <w:sz w:val="26"/>
                <w:szCs w:val="26"/>
              </w:rPr>
            </w:pPr>
            <w:r>
              <w:rPr>
                <w:b/>
                <w:bCs w:val="false"/>
                <w:sz w:val="26"/>
                <w:szCs w:val="26"/>
              </w:rPr>
              <w:t>GIÁM ĐỐC TRUNG TÂM CNTT</w:t>
            </w:r>
          </w:p>
          <w:p>
            <w:pPr>
              <w:pStyle w:val="Normal"/>
              <w:spacing w:before="60" w:after="0"/>
              <w:jc w:val="center"/>
              <w:rPr>
                <w:b/>
                <w:bCs w:val="false"/>
                <w:sz w:val="26"/>
                <w:szCs w:val="26"/>
              </w:rPr>
            </w:pPr>
            <w:r>
              <w:rPr>
                <w:b/>
                <w:bCs w:val="false"/>
                <w:szCs w:val="26"/>
              </w:rPr>
              <w:t>Lê Đông</w:t>
            </w:r>
          </w:p>
        </w:tc>
      </w:tr>
    </w:tbl>
    <w:p>
      <w:pPr>
        <w:sectPr>
          <w:type w:val="nextPage"/>
          <w:pgSz w:w="11906" w:h="16838"/>
          <w:pgMar w:left="1296" w:right="1008" w:gutter="0" w:header="0" w:top="1008" w:footer="0" w:bottom="432"/>
          <w:pgNumType w:fmt="decimal"/>
          <w:formProt w:val="false"/>
          <w:textDirection w:val="lrTb"/>
          <w:docGrid w:type="default" w:linePitch="381" w:charSpace="0"/>
        </w:sectPr>
      </w:pPr>
    </w:p>
    <w:p>
      <w:pPr>
        <w:pStyle w:val="Normal"/>
        <w:spacing w:before="0" w:after="240"/>
        <w:rPr>
          <w:sz w:val="26"/>
          <w:szCs w:val="26"/>
        </w:rPr>
      </w:pPr>
      <w:r>
        <w:rPr>
          <w:sz w:val="26"/>
          <w:szCs w:val="26"/>
        </w:rPr>
      </w:r>
    </w:p>
    <w:sectPr>
      <w:type w:val="nextPage"/>
      <w:pgSz w:w="11906" w:h="16838"/>
      <w:pgMar w:left="1418" w:right="1134" w:gutter="0" w:header="0" w:top="0" w:footer="0" w:bottom="1134"/>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VnTimeH">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bCs/>
      <w:color w:val="auto"/>
      <w:sz w:val="28"/>
      <w:szCs w:val="28"/>
      <w:lang w:val="en-US" w:bidi="ar-SA" w:eastAsia="zh-CN"/>
    </w:rPr>
  </w:style>
  <w:style w:type="paragraph" w:styleId="Heading1">
    <w:name w:val="heading 1"/>
    <w:basedOn w:val="Normal"/>
    <w:next w:val="Normal"/>
    <w:qFormat/>
    <w:pPr>
      <w:keepNext w:val="true"/>
      <w:numPr>
        <w:ilvl w:val="0"/>
        <w:numId w:val="1"/>
      </w:numPr>
      <w:jc w:val="center"/>
      <w:outlineLvl w:val="0"/>
    </w:pPr>
    <w:rPr>
      <w:b/>
      <w:bCs w:val="false"/>
      <w:sz w:val="24"/>
      <w:szCs w:val="24"/>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3z0">
    <w:name w:val="WW8Num3z0"/>
    <w:qFormat/>
    <w:rPr>
      <w:b/>
      <w:i/>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b/>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b/>
    </w:rPr>
  </w:style>
  <w:style w:type="character" w:styleId="WW8Num19z0">
    <w:name w:val="WW8Num19z0"/>
    <w:qFormat/>
    <w:rPr>
      <w:u w:val="none"/>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7z0">
    <w:name w:val="WW8Num27z0"/>
    <w:qFormat/>
    <w:rPr/>
  </w:style>
  <w:style w:type="character" w:styleId="WW8Num28z0">
    <w:name w:val="WW8Num28z0"/>
    <w:qFormat/>
    <w:rPr>
      <w:rFonts w:ascii="Times New Roman" w:hAnsi="Times New Roman" w:eastAsia="Times New Roman"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31z0">
    <w:name w:val="WW8Num31z0"/>
    <w:qFormat/>
    <w:rPr>
      <w:rFonts w:ascii="Times New Roman" w:hAnsi="Times New Roman"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style>
  <w:style w:type="character" w:styleId="DefaultParagraphFont">
    <w:name w:val="Default Paragraph Font"/>
    <w:qFormat/>
    <w:rPr/>
  </w:style>
  <w:style w:type="character" w:styleId="Hyperlink">
    <w:name w:val="Hyperlink"/>
    <w:rPr>
      <w:color w:val="0000FF"/>
      <w:u w:val="single"/>
    </w:rPr>
  </w:style>
  <w:style w:type="character" w:styleId="HeaderChar">
    <w:name w:val="Header Char"/>
    <w:qFormat/>
    <w:rPr>
      <w:bCs/>
      <w:sz w:val="28"/>
      <w:szCs w:val="28"/>
    </w:rPr>
  </w:style>
  <w:style w:type="character" w:styleId="FooterChar">
    <w:name w:val="Footer Char"/>
    <w:qFormat/>
    <w:rPr>
      <w:bCs/>
      <w:sz w:val="28"/>
      <w:szCs w:val="28"/>
    </w:rPr>
  </w:style>
  <w:style w:type="character" w:styleId="BalloonTextChar">
    <w:name w:val="Balloon Text Char"/>
    <w:qFormat/>
    <w:rPr>
      <w:rFonts w:ascii="Tahoma" w:hAnsi="Tahoma" w:cs="Tahoma"/>
      <w:bCs/>
      <w:sz w:val="16"/>
      <w:szCs w:val="16"/>
    </w:rPr>
  </w:style>
  <w:style w:type="character" w:styleId="Strong">
    <w:name w:val="Strong"/>
    <w:qFormat/>
    <w:rPr>
      <w:b/>
      <w:bCs/>
    </w:rPr>
  </w:style>
  <w:style w:type="character" w:styleId="TitleChar">
    <w:name w:val="Title Char"/>
    <w:qFormat/>
    <w:rPr>
      <w:rFonts w:ascii=".VnTimeH" w:hAnsi=".VnTimeH" w:cs=".VnTimeH"/>
      <w:b/>
      <w:bCs/>
      <w:sz w:val="24"/>
      <w:szCs w:val="24"/>
    </w:rPr>
  </w:style>
  <w:style w:type="paragraph" w:styleId="Heading">
    <w:name w:val="Heading"/>
    <w:basedOn w:val="Normal"/>
    <w:next w:val="BodyText"/>
    <w:qFormat/>
    <w:pPr>
      <w:jc w:val="center"/>
    </w:pPr>
    <w:rPr>
      <w:rFonts w:ascii=".VnTimeH" w:hAnsi=".VnTimeH" w:cs=".VnTimeH"/>
      <w:b/>
      <w:sz w:val="24"/>
      <w:szCs w:val="24"/>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harCharCharCharCharCharChar">
    <w:name w:val=" Char Char Char Char Char Char Char"/>
    <w:basedOn w:val="Normal"/>
    <w:qFormat/>
    <w:pPr>
      <w:widowControl w:val="false"/>
      <w:jc w:val="both"/>
    </w:pPr>
    <w:rPr>
      <w:rFonts w:eastAsia="SimSun;宋体"/>
      <w:bCs w:val="false"/>
      <w:kern w:val="2"/>
      <w:sz w:val="24"/>
      <w:szCs w:val="24"/>
      <w:lang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lang w:val="en-US"/>
    </w:rPr>
  </w:style>
  <w:style w:type="paragraph" w:styleId="Footer">
    <w:name w:val="footer"/>
    <w:basedOn w:val="Normal"/>
    <w:pPr>
      <w:tabs>
        <w:tab w:val="clear" w:pos="720"/>
        <w:tab w:val="center" w:pos="4680" w:leader="none"/>
        <w:tab w:val="right" w:pos="9360" w:leader="none"/>
      </w:tabs>
    </w:pPr>
    <w:rPr>
      <w:lang w:val="en-US"/>
    </w:rPr>
  </w:style>
  <w:style w:type="paragraph" w:styleId="BalloonText">
    <w:name w:val="Balloon Text"/>
    <w:basedOn w:val="Normal"/>
    <w:qFormat/>
    <w:pPr/>
    <w:rPr>
      <w:rFonts w:ascii="Tahoma" w:hAnsi="Tahoma" w:cs="Tahoma"/>
      <w:sz w:val="16"/>
      <w:szCs w:val="16"/>
      <w:lang w:val="en-US"/>
    </w:rPr>
  </w:style>
  <w:style w:type="paragraph" w:styleId="normal-p">
    <w:name w:val="normal-p"/>
    <w:basedOn w:val="Normal"/>
    <w:qFormat/>
    <w:pPr>
      <w:spacing w:before="280" w:after="280"/>
    </w:pPr>
    <w:rPr>
      <w:bCs w:val="false"/>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p@vimc.c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MAU Cong van di.dot</Template>
  <TotalTime>54</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2024-11-22T10:53:00Z</dcterms:created>
  <dc:creator>Ngo Thi Van Chung</dc:creator>
  <dc:description/>
  <cp:keywords/>
  <dc:language>en-US</dc:language>
  <cp:lastModifiedBy>Lê Đông</cp:lastModifiedBy>
  <cp:lastPrinted>2022-04-22T15:55:00Z</cp:lastPrinted>
  <dcterms:modified xsi:type="dcterms:W3CDTF">2024-11-22T15:08:00Z</dcterms:modified>
  <cp:revision>14</cp:revision>
  <dc:subject/>
  <dc:title/>
</cp:coreProperties>
</file>