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eastAsia="Calibri"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val="en-US" w:eastAsia="en-US"/>
        </w:rPr>
        <w:drawing>
          <wp:inline distT="0" distB="0" distL="0" distR="0">
            <wp:extent cx="5910580" cy="6591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7" r="-8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1"/>
        <w:gridCol w:w="4528"/>
      </w:tblGrid>
      <w:tr>
        <w:trPr>
          <w:trHeight w:val="80" w:hRule="atLeast"/>
        </w:trPr>
        <w:tc>
          <w:tcPr>
            <w:tcW w:w="6181" w:type="dxa"/>
            <w:tcBorders/>
          </w:tcPr>
          <w:p>
            <w:pPr>
              <w:pStyle w:val="Heading"/>
              <w:rPr>
                <w:rFonts w:ascii="Times New Roman" w:hAnsi="Times New Roman" w:cs="Times New Roman"/>
                <w:bCs w:val="false"/>
                <w:sz w:val="26"/>
                <w:szCs w:val="26"/>
                <w:lang w:val="vi-VN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235585</wp:posOffset>
                      </wp:positionV>
                      <wp:extent cx="1457960" cy="1270"/>
                      <wp:effectExtent l="635" t="5080" r="635" b="508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8360" cy="180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94.65pt;margin-top:18.55pt;width:114.8pt;height:0.1pt" type="_x0000_t32">
                      <v:stroke color="black" weight="9360" joinstyle="miter" endcap="flat"/>
                      <v:fill o:detectmouseclick="t" on="false"/>
                      <w10:wrap type="none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iCs/>
                <w:sz w:val="26"/>
                <w:szCs w:val="26"/>
                <w:lang w:val="vi-VN" w:eastAsia="en-US"/>
              </w:rPr>
              <w:t>TT CNTT VIMC</w:t>
            </w:r>
          </w:p>
        </w:tc>
        <w:tc>
          <w:tcPr>
            <w:tcW w:w="4528" w:type="dxa"/>
            <w:tcBorders/>
          </w:tcPr>
          <w:p>
            <w:pPr>
              <w:pStyle w:val="Heading"/>
              <w:jc w:val="left"/>
              <w:rPr>
                <w:rFonts w:ascii="Times New Roman" w:hAnsi="Times New Roman" w:cs="Times New Roman"/>
                <w:b w:val="false"/>
                <w:i/>
                <w:i/>
                <w:i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26"/>
                <w:szCs w:val="26"/>
              </w:rPr>
              <w:t xml:space="preserve">                </w:t>
            </w:r>
          </w:p>
          <w:p>
            <w:pPr>
              <w:pStyle w:val="Heading"/>
              <w:jc w:val="left"/>
              <w:rPr>
                <w:rFonts w:ascii="Times New Roman" w:hAnsi="Times New Roman" w:cs="Times New Roman"/>
                <w:b w:val="false"/>
                <w:i/>
                <w:i/>
                <w:i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/>
                <w:iCs/>
                <w:sz w:val="26"/>
                <w:szCs w:val="26"/>
              </w:rPr>
              <w:t>Hà Nội, ngày 13 tháng 01 năm 2025</w:t>
            </w:r>
          </w:p>
        </w:tc>
      </w:tr>
      <w:tr>
        <w:trPr>
          <w:trHeight w:val="472" w:hRule="atLeast"/>
        </w:trPr>
        <w:tc>
          <w:tcPr>
            <w:tcW w:w="6181" w:type="dxa"/>
            <w:tcBorders/>
          </w:tcPr>
          <w:p>
            <w:pPr>
              <w:pStyle w:val="Heading"/>
              <w:snapToGrid w:val="false"/>
              <w:jc w:val="left"/>
              <w:rPr>
                <w:rFonts w:ascii="Times New Roman" w:hAnsi="Times New Roman" w:cs="Times New Roman"/>
                <w:b/>
                <w:bCs w:val="false"/>
                <w:i/>
                <w:i/>
                <w:i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 w:val="false"/>
                <w:i/>
                <w:iCs/>
                <w:sz w:val="26"/>
                <w:szCs w:val="26"/>
              </w:rPr>
            </w:r>
          </w:p>
        </w:tc>
        <w:tc>
          <w:tcPr>
            <w:tcW w:w="4528" w:type="dxa"/>
            <w:tcBorders/>
          </w:tcPr>
          <w:p>
            <w:pPr>
              <w:pStyle w:val="Heading"/>
              <w:snapToGrid w:val="false"/>
              <w:jc w:val="left"/>
              <w:rPr>
                <w:rFonts w:ascii="Times New Roman" w:hAnsi="Times New Roman" w:cs="Times New Roman"/>
                <w:b w:val="false"/>
                <w:bCs w:val="false"/>
                <w:i/>
                <w:i/>
                <w:i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88" w:before="0" w:after="120"/>
        <w:jc w:val="center"/>
        <w:outlineLvl w:val="3"/>
        <w:rPr>
          <w:b/>
          <w:bCs w:val="false"/>
        </w:rPr>
      </w:pPr>
      <w:r>
        <w:rPr>
          <w:b/>
          <w:bCs w:val="false"/>
        </w:rPr>
        <w:t>PHIẾU ĐỀ NGHỊ THẨM ĐỊNH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center"/>
        <w:outlineLvl w:val="3"/>
        <w:rPr>
          <w:iCs/>
          <w:szCs w:val="26"/>
        </w:rPr>
      </w:pPr>
      <w:r>
        <w:rPr>
          <w:iCs/>
          <w:szCs w:val="26"/>
        </w:rPr>
        <w:t>V/v thẩm định Dự thảo: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center"/>
        <w:outlineLvl w:val="3"/>
        <w:rPr/>
      </w:pPr>
      <w:r>
        <w:rPr>
          <w:iCs/>
          <w:szCs w:val="26"/>
        </w:rPr>
        <w:t xml:space="preserve">Quy </w:t>
      </w:r>
      <w:r>
        <w:rPr>
          <w:iCs/>
          <w:szCs w:val="26"/>
          <w:lang w:val="vi-VN"/>
        </w:rPr>
        <w:t>định về nguyên tắc trong quản trị, điều hành, phân giao nhiệm vụ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center"/>
        <w:outlineLvl w:val="3"/>
        <w:rPr>
          <w:iCs/>
          <w:szCs w:val="26"/>
          <w:lang w:val="vi-VN"/>
        </w:rPr>
      </w:pPr>
      <w:r>
        <w:rPr>
          <w:iCs/>
          <w:szCs w:val="26"/>
          <w:lang w:val="vi-VN"/>
        </w:rPr>
        <w:t xml:space="preserve"> </w:t>
      </w:r>
      <w:r>
        <w:rPr>
          <w:iCs/>
          <w:szCs w:val="26"/>
          <w:lang w:val="vi-VN"/>
        </w:rPr>
        <w:t>và báo cáo kết quả công việc đối với các hoạt động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center"/>
        <w:outlineLvl w:val="3"/>
        <w:rPr>
          <w:iCs/>
          <w:szCs w:val="26"/>
        </w:rPr>
      </w:pPr>
      <w:r>
        <w:rPr>
          <w:iCs/>
          <w:szCs w:val="26"/>
          <w:lang w:val="vi-VN"/>
        </w:rPr>
        <w:t xml:space="preserve"> </w:t>
      </w:r>
      <w:r>
        <w:rPr>
          <w:iCs/>
          <w:szCs w:val="26"/>
          <w:lang w:val="vi-VN"/>
        </w:rPr>
        <w:t xml:space="preserve">của </w:t>
      </w:r>
      <w:r>
        <w:rPr>
          <w:iCs/>
          <w:szCs w:val="26"/>
        </w:rPr>
        <w:t>Tổng công ty Hàng hải Việt Nam - CTCP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center"/>
        <w:outlineLvl w:val="4"/>
        <w:rPr>
          <w:iCs/>
          <w:szCs w:val="26"/>
          <w:lang w:val="vi-VN" w:eastAsia="en-US"/>
        </w:rPr>
      </w:pPr>
      <w:r>
        <w:rPr>
          <w:iCs/>
          <w:szCs w:val="26"/>
          <w:lang w:val="vi-VN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1960880</wp:posOffset>
                </wp:positionH>
                <wp:positionV relativeFrom="paragraph">
                  <wp:posOffset>76835</wp:posOffset>
                </wp:positionV>
                <wp:extent cx="1837690" cy="1270"/>
                <wp:effectExtent l="635" t="5080" r="635" b="508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16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54.4pt;margin-top:6.05pt;width:144.7pt;height:0.1pt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3686" w:leader="none"/>
        </w:tabs>
        <w:spacing w:lineRule="auto" w:line="288" w:before="120" w:after="0"/>
        <w:ind w:firstLine="720" w:left="720" w:right="0"/>
        <w:rPr/>
      </w:pPr>
      <w:r>
        <w:rPr/>
        <w:t xml:space="preserve">          </w:t>
      </w:r>
      <w:r>
        <w:rPr/>
        <w:t>Kính gửi: Ban Pháp chế và Quản trị rủi ro</w:t>
      </w:r>
    </w:p>
    <w:p>
      <w:pPr>
        <w:pStyle w:val="Normal"/>
        <w:spacing w:lineRule="auto" w:line="288"/>
        <w:ind w:firstLine="720" w:right="0"/>
        <w:jc w:val="both"/>
        <w:rPr/>
      </w:pPr>
      <w:r>
        <w:rPr/>
      </w:r>
    </w:p>
    <w:p>
      <w:pPr>
        <w:pStyle w:val="Normal"/>
        <w:spacing w:before="0" w:after="120"/>
        <w:ind w:firstLine="720" w:right="0"/>
        <w:jc w:val="both"/>
        <w:rPr/>
      </w:pPr>
      <w:r>
        <w:rPr/>
        <w:t>Căn cứ Quy chế xây dựng và ban hành Quy phạm nội bộ của Tổng công ty Hàng hải Việt Nam ban hành kèm theo Quyết định số 244/QĐ-HHVN ngày 23/5/2022;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ind w:firstLine="720" w:right="0"/>
        <w:jc w:val="both"/>
        <w:outlineLvl w:val="3"/>
        <w:rPr/>
      </w:pPr>
      <w:r>
        <w:rPr>
          <w:lang w:val="vi-VN"/>
        </w:rPr>
        <w:t>TT CNTT</w:t>
      </w:r>
      <w:r>
        <w:rPr>
          <w:lang w:val="it-IT"/>
        </w:rPr>
        <w:t xml:space="preserve"> đề nghị Ban Pháp chế và Quản trị rủi ro có ý kiến thẩm định đối với Dự thảo </w:t>
      </w:r>
      <w:r>
        <w:rPr>
          <w:iCs/>
          <w:szCs w:val="26"/>
        </w:rPr>
        <w:t xml:space="preserve">Quy </w:t>
      </w:r>
      <w:r>
        <w:rPr>
          <w:iCs/>
          <w:szCs w:val="26"/>
          <w:lang w:val="vi-VN"/>
        </w:rPr>
        <w:t>định về nguyên tắc trong quản trị, điều hành, phân giao nhiệm vụ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jc w:val="both"/>
        <w:outlineLvl w:val="3"/>
        <w:rPr>
          <w:iCs/>
          <w:szCs w:val="26"/>
          <w:lang w:val="vi-VN"/>
        </w:rPr>
      </w:pPr>
      <w:r>
        <w:rPr>
          <w:iCs/>
          <w:szCs w:val="26"/>
          <w:lang w:val="vi-VN"/>
        </w:rPr>
        <w:t xml:space="preserve"> </w:t>
      </w:r>
      <w:r>
        <w:rPr>
          <w:iCs/>
          <w:szCs w:val="26"/>
          <w:lang w:val="vi-VN"/>
        </w:rPr>
        <w:t xml:space="preserve">và báo cáo kết quả công việc đối với các hoạt động của </w:t>
      </w:r>
      <w:r>
        <w:rPr>
          <w:iCs/>
          <w:szCs w:val="26"/>
        </w:rPr>
        <w:t>Tổng công ty Hàng hải Việt Nam – CTCP</w:t>
      </w:r>
      <w:r>
        <w:rPr>
          <w:iCs/>
          <w:szCs w:val="26"/>
          <w:lang w:val="vi-VN"/>
        </w:rPr>
        <w:t>.</w:t>
      </w:r>
    </w:p>
    <w:p>
      <w:pPr>
        <w:pStyle w:val="Normal"/>
        <w:tabs>
          <w:tab w:val="clear" w:pos="720"/>
          <w:tab w:val="left" w:pos="2400" w:leader="none"/>
        </w:tabs>
        <w:spacing w:before="120" w:after="120"/>
        <w:ind w:firstLine="710" w:right="0"/>
        <w:jc w:val="both"/>
        <w:rPr>
          <w:i/>
          <w:i/>
          <w:lang w:val="it-IT"/>
        </w:rPr>
      </w:pPr>
      <w:r>
        <w:rPr>
          <w:i/>
          <w:lang w:val="it-IT"/>
        </w:rPr>
        <w:t>Gửi kèm theo đề nghị thẩm định gồm:</w:t>
      </w:r>
    </w:p>
    <w:p>
      <w:pPr>
        <w:pStyle w:val="Normal"/>
        <w:keepNext w:val="true"/>
        <w:numPr>
          <w:ilvl w:val="0"/>
          <w:numId w:val="0"/>
        </w:numPr>
        <w:spacing w:lineRule="auto" w:line="288"/>
        <w:ind w:firstLine="720" w:right="0"/>
        <w:jc w:val="both"/>
        <w:outlineLvl w:val="3"/>
        <w:rPr>
          <w:iCs/>
          <w:szCs w:val="26"/>
          <w:lang w:val="vi-VN"/>
        </w:rPr>
      </w:pPr>
      <w:r>
        <w:rPr>
          <w:i/>
        </w:rPr>
        <w:t xml:space="preserve">1. Tờ trình về việc đề xuất xây dựng và ban hành </w:t>
      </w:r>
      <w:r>
        <w:rPr>
          <w:i/>
          <w:iCs/>
          <w:szCs w:val="26"/>
        </w:rPr>
        <w:t xml:space="preserve">Quy </w:t>
      </w:r>
      <w:r>
        <w:rPr>
          <w:i/>
          <w:iCs/>
          <w:szCs w:val="26"/>
          <w:lang w:val="vi-VN"/>
        </w:rPr>
        <w:t xml:space="preserve">định về nguyên tắc trong quản trị, điều hành, phân giao nhiệm vụ và báo cáo kết quả công việc đối với các hoạt động của </w:t>
      </w:r>
      <w:r>
        <w:rPr>
          <w:i/>
          <w:iCs/>
          <w:szCs w:val="26"/>
        </w:rPr>
        <w:t>Tổng công ty Hàng hải Việt Nam – CTCP</w:t>
      </w:r>
      <w:r>
        <w:rPr>
          <w:i/>
        </w:rPr>
        <w:t>;</w:t>
      </w:r>
    </w:p>
    <w:p>
      <w:pPr>
        <w:pStyle w:val="Normal"/>
        <w:spacing w:before="120" w:after="120"/>
        <w:ind w:firstLine="720" w:right="0"/>
        <w:jc w:val="both"/>
        <w:rPr>
          <w:i/>
          <w:i/>
        </w:rPr>
      </w:pPr>
      <w:r>
        <w:rPr>
          <w:i/>
        </w:rPr>
        <w:t xml:space="preserve">2. Dự thảo Quyết định ban hành </w:t>
      </w:r>
      <w:r>
        <w:rPr>
          <w:i/>
          <w:iCs/>
          <w:szCs w:val="26"/>
        </w:rPr>
        <w:t xml:space="preserve">Quy </w:t>
      </w:r>
      <w:r>
        <w:rPr>
          <w:i/>
          <w:iCs/>
          <w:szCs w:val="26"/>
          <w:lang w:val="vi-VN"/>
        </w:rPr>
        <w:t xml:space="preserve">định về nguyên tắc trong quản trị, điều hành, phân giao nhiệm vụ và báo cáo kết quả công việc đối với các hoạt động của </w:t>
      </w:r>
      <w:r>
        <w:rPr>
          <w:i/>
          <w:iCs/>
          <w:szCs w:val="26"/>
        </w:rPr>
        <w:t>Tổng công ty Hàng hải Việt Nam – CTCP</w:t>
      </w:r>
      <w:r>
        <w:rPr>
          <w:i/>
        </w:rPr>
        <w:t>;</w:t>
      </w:r>
    </w:p>
    <w:p>
      <w:pPr>
        <w:pStyle w:val="Normal"/>
        <w:spacing w:before="120" w:after="120"/>
        <w:ind w:firstLine="720" w:right="0"/>
        <w:jc w:val="both"/>
        <w:rPr>
          <w:i/>
          <w:i/>
          <w:lang w:val="vi-VN"/>
        </w:rPr>
      </w:pPr>
      <w:r>
        <w:rPr>
          <w:i/>
        </w:rPr>
        <w:t xml:space="preserve">3. Dự thảo </w:t>
      </w:r>
      <w:r>
        <w:rPr>
          <w:i/>
          <w:iCs/>
          <w:szCs w:val="26"/>
        </w:rPr>
        <w:t xml:space="preserve">Quy </w:t>
      </w:r>
      <w:r>
        <w:rPr>
          <w:i/>
          <w:iCs/>
          <w:szCs w:val="26"/>
          <w:lang w:val="vi-VN"/>
        </w:rPr>
        <w:t xml:space="preserve">định về nguyên tắc trong quản trị, điều hành, phân giao nhiệm vụ và báo cáo kết quả công việc đối với các hoạt động của </w:t>
      </w:r>
      <w:r>
        <w:rPr>
          <w:i/>
          <w:iCs/>
          <w:szCs w:val="26"/>
        </w:rPr>
        <w:t>Tổng công ty Hàng hải Việt Nam – CTC</w:t>
      </w:r>
      <w:r>
        <w:rPr>
          <w:i/>
          <w:iCs/>
          <w:szCs w:val="26"/>
          <w:lang w:val="vi-VN"/>
        </w:rPr>
        <w:t xml:space="preserve">P </w:t>
      </w:r>
      <w:r>
        <w:rPr>
          <w:i/>
        </w:rPr>
        <w:t>(Dự thảo cuối cùng</w:t>
      </w:r>
      <w:r>
        <w:rPr>
          <w:i/>
          <w:lang w:val="vi-VN"/>
        </w:rPr>
        <w:t>);</w:t>
      </w:r>
    </w:p>
    <w:p>
      <w:pPr>
        <w:pStyle w:val="Normal"/>
        <w:spacing w:before="120" w:after="360"/>
        <w:ind w:firstLine="720" w:right="0"/>
        <w:jc w:val="both"/>
        <w:rPr>
          <w:i/>
          <w:i/>
          <w:lang w:val="vi-VN"/>
        </w:rPr>
      </w:pPr>
      <w:r>
        <w:rPr>
          <w:i/>
          <w:lang w:val="vi-VN"/>
        </w:rPr>
        <w:t>4. Bản tổng hợp ý kiến góp ý và các giải trình về việc tiếp thu ý kiến.</w:t>
      </w:r>
    </w:p>
    <w:tbl>
      <w:tblPr>
        <w:tblW w:w="9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5715"/>
      </w:tblGrid>
      <w:tr>
        <w:trPr>
          <w:trHeight w:val="2447" w:hRule="atLeast"/>
        </w:trPr>
        <w:tc>
          <w:tcPr>
            <w:tcW w:w="3483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  <w:lang w:val="it-IT"/>
              </w:rPr>
            </w:pPr>
            <w:r>
              <w:rPr>
                <w:b/>
                <w:bCs w:val="false"/>
                <w:i/>
                <w:iCs/>
                <w:sz w:val="24"/>
                <w:szCs w:val="24"/>
                <w:lang w:val="it-IT"/>
              </w:rPr>
              <w:t>Nơi nhận:</w:t>
            </w:r>
          </w:p>
          <w:p>
            <w:pPr>
              <w:pStyle w:val="Normal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Như trên;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- Lưu</w:t>
            </w:r>
            <w:r>
              <w:rPr>
                <w:sz w:val="24"/>
                <w:szCs w:val="24"/>
                <w:lang w:val="vi-VN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vi-VN"/>
              </w:rPr>
              <w:t>TT CNTT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715" w:type="dxa"/>
            <w:tcBorders/>
          </w:tcPr>
          <w:p>
            <w:pPr>
              <w:pStyle w:val="Normal"/>
              <w:jc w:val="center"/>
              <w:rPr>
                <w:b/>
                <w:bCs w:val="false"/>
                <w:szCs w:val="26"/>
                <w:lang w:val="vi-VN"/>
              </w:rPr>
            </w:pPr>
            <w:r>
              <w:rPr>
                <w:b/>
                <w:bCs w:val="false"/>
                <w:szCs w:val="26"/>
              </w:rPr>
              <w:t xml:space="preserve">    </w:t>
            </w:r>
            <w:r>
              <w:rPr>
                <w:b/>
                <w:bCs w:val="false"/>
                <w:szCs w:val="26"/>
                <w:lang w:val="vi-VN"/>
              </w:rPr>
              <w:t>TRUNG TÂM CNTT VIMC</w:t>
            </w:r>
          </w:p>
          <w:p>
            <w:pPr>
              <w:pStyle w:val="Normal"/>
              <w:jc w:val="center"/>
              <w:rPr>
                <w:b/>
                <w:bCs w:val="false"/>
                <w:szCs w:val="26"/>
                <w:lang w:val="vi-VN"/>
              </w:rPr>
            </w:pPr>
            <w:r>
              <w:rPr>
                <w:b/>
                <w:bCs w:val="false"/>
                <w:szCs w:val="26"/>
                <w:lang w:val="vi-VN"/>
              </w:rPr>
              <w:t xml:space="preserve">   </w:t>
            </w:r>
            <w:r>
              <w:rPr>
                <w:b/>
                <w:bCs w:val="false"/>
                <w:szCs w:val="26"/>
                <w:lang w:val="vi-VN"/>
              </w:rPr>
              <w:t>GIÁM ĐỐC</w:t>
            </w:r>
          </w:p>
          <w:p>
            <w:pPr>
              <w:pStyle w:val="Normal"/>
              <w:rPr>
                <w:b/>
                <w:bCs w:val="false"/>
                <w:szCs w:val="26"/>
                <w:lang w:val="vi-VN"/>
              </w:rPr>
            </w:pPr>
            <w:r>
              <w:rPr>
                <w:b/>
                <w:bCs w:val="false"/>
                <w:szCs w:val="26"/>
                <w:lang w:val="vi-VN"/>
              </w:rPr>
            </w:r>
          </w:p>
          <w:p>
            <w:pPr>
              <w:pStyle w:val="Normal"/>
              <w:jc w:val="center"/>
              <w:rPr>
                <w:b/>
                <w:bCs w:val="false"/>
                <w:sz w:val="24"/>
                <w:szCs w:val="24"/>
              </w:rPr>
            </w:pPr>
            <w:r>
              <w:rPr>
                <w:b/>
                <w:bCs w:val="false"/>
                <w:sz w:val="24"/>
                <w:szCs w:val="24"/>
              </w:rPr>
              <w:t>(đã ký)</w:t>
            </w:r>
          </w:p>
          <w:p>
            <w:pPr>
              <w:pStyle w:val="Normal"/>
              <w:rPr>
                <w:b/>
                <w:bCs w:val="false"/>
                <w:sz w:val="24"/>
                <w:szCs w:val="26"/>
              </w:rPr>
            </w:pPr>
            <w:r>
              <w:rPr>
                <w:b/>
                <w:bCs w:val="false"/>
                <w:sz w:val="24"/>
                <w:szCs w:val="26"/>
              </w:rPr>
            </w:r>
          </w:p>
          <w:p>
            <w:pPr>
              <w:pStyle w:val="Normal"/>
              <w:jc w:val="center"/>
              <w:rPr>
                <w:b/>
                <w:bCs w:val="false"/>
                <w:lang w:val="vi-VN"/>
              </w:rPr>
            </w:pPr>
            <w:r>
              <w:rPr>
                <w:b/>
                <w:bCs w:val="false"/>
              </w:rPr>
              <w:t xml:space="preserve">Lê </w:t>
            </w:r>
            <w:r>
              <w:rPr>
                <w:b/>
                <w:bCs w:val="false"/>
                <w:lang w:val="vi-VN"/>
              </w:rPr>
              <w:t>Đông</w:t>
            </w:r>
          </w:p>
        </w:tc>
      </w:tr>
    </w:tbl>
    <w:p>
      <w:pPr>
        <w:pStyle w:val="Normal"/>
        <w:spacing w:before="120" w:after="120"/>
        <w:jc w:val="both"/>
        <w:textAlignment w:val="baseline"/>
        <w:rPr>
          <w:lang w:val="vi-VN" w:eastAsia="vi-VN"/>
        </w:rPr>
      </w:pPr>
      <w:r>
        <w:rPr>
          <w:lang w:val="vi-VN" w:eastAsia="vi-VN"/>
        </w:rPr>
      </w:r>
    </w:p>
    <w:sectPr>
      <w:footerReference w:type="default" r:id="rId3"/>
      <w:type w:val="nextPage"/>
      <w:pgSz w:w="11906" w:h="16838"/>
      <w:pgMar w:left="1296" w:right="1152" w:gutter="0" w:header="0" w:top="720" w:footer="0" w:bottom="288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.VnTimeH">
    <w:charset w:val="00"/>
    <w:family w:val="swiss"/>
    <w:pitch w:val="variable"/>
  </w:font>
  <w:font w:name="Arial Unicode MS">
    <w:charset w:val="00"/>
    <w:family w:val="swiss"/>
    <w:pitch w:val="variable"/>
  </w:font>
  <w:font w:name=".VnTime"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204470"/>
              <wp:effectExtent l="0" t="0" r="0" b="0"/>
              <wp:wrapSquare wrapText="bothSides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6.1pt;mso-wrap-distance-left:0pt;mso-wrap-distance-right:0pt;mso-wrap-distance-top:0pt;mso-wrap-distance-bottom:0pt;margin-top:0.05pt;mso-position-vertical-relative:text;margin-left:235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Cs/>
      <w:color w:val="auto"/>
      <w:sz w:val="28"/>
      <w:szCs w:val="28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 w:val="false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 w:val="fals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20"/>
        <w:tab w:val="left" w:pos="567" w:leader="none"/>
      </w:tabs>
      <w:spacing w:before="40" w:after="40"/>
      <w:ind w:firstLine="567" w:left="0" w:right="0"/>
      <w:jc w:val="both"/>
      <w:outlineLvl w:val="2"/>
    </w:pPr>
    <w:rPr>
      <w:i/>
      <w:iCs/>
      <w:sz w:val="26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Wingdings" w:hAnsi="Wingdings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  <w:b w:val="false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odycontent">
    <w:name w:val="bodycontent"/>
    <w:basedOn w:val="DefaultParagraph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apple-converted-space">
    <w:name w:val="apple-converted-space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ascii=".VnTimeH" w:hAnsi=".VnTimeH" w:cs=".VnTimeH"/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.VnTimeH" w:hAnsi=".VnTimeH" w:cs=".VnTimeH"/>
      <w:b/>
      <w:sz w:val="24"/>
      <w:szCs w:val="24"/>
    </w:rPr>
  </w:style>
  <w:style w:type="paragraph" w:styleId="BodyText">
    <w:name w:val="Body Text"/>
    <w:basedOn w:val="Normal"/>
    <w:pPr>
      <w:spacing w:lineRule="auto" w:line="288" w:before="120" w:after="120"/>
      <w:jc w:val="both"/>
    </w:pPr>
    <w:rPr>
      <w:sz w:val="26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">
    <w:name w:val="Body Text Indent"/>
    <w:basedOn w:val="Normal"/>
    <w:pPr>
      <w:spacing w:lineRule="auto" w:line="312" w:before="120" w:after="120"/>
      <w:ind w:firstLine="720" w:left="0" w:right="0"/>
      <w:jc w:val="both"/>
    </w:pPr>
    <w:rPr>
      <w:sz w:val="26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bCs w:val="false"/>
      <w:sz w:val="24"/>
      <w:szCs w:val="24"/>
    </w:rPr>
  </w:style>
  <w:style w:type="paragraph" w:styleId="ndieund">
    <w:name w:val="ndieund"/>
    <w:basedOn w:val="Normal"/>
    <w:qFormat/>
    <w:pPr>
      <w:spacing w:before="0" w:after="120"/>
      <w:ind w:firstLine="720" w:left="0" w:right="0"/>
      <w:jc w:val="both"/>
    </w:pPr>
    <w:rPr>
      <w:rFonts w:ascii=".VnTime" w:hAnsi=".VnTime" w:cs=".VnTime"/>
      <w:bCs w:val="false"/>
    </w:rPr>
  </w:style>
  <w:style w:type="paragraph" w:styleId="n-dieu">
    <w:name w:val="n-dieu"/>
    <w:basedOn w:val="Normal"/>
    <w:qFormat/>
    <w:pPr>
      <w:overflowPunct w:val="false"/>
      <w:autoSpaceDE w:val="false"/>
      <w:spacing w:before="120" w:after="180"/>
      <w:ind w:hanging="1077" w:left="1786" w:right="0"/>
      <w:jc w:val="both"/>
      <w:textAlignment w:val="baseline"/>
    </w:pPr>
    <w:rPr>
      <w:rFonts w:ascii=".VnTime" w:hAnsi=".VnTime" w:cs=".VnTime"/>
      <w:b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</w:rPr>
  </w:style>
  <w:style w:type="paragraph" w:styleId="CharCharCharCharCharCharChar">
    <w:name w:val=" Char Char Char Char Char Char Char"/>
    <w:basedOn w:val="Normal"/>
    <w:qFormat/>
    <w:pPr>
      <w:widowControl w:val="false"/>
      <w:jc w:val="both"/>
    </w:pPr>
    <w:rPr>
      <w:rFonts w:eastAsia="SimSun;宋体"/>
      <w:bCs w:val="false"/>
      <w:kern w:val="2"/>
      <w:sz w:val="24"/>
      <w:szCs w:val="24"/>
      <w:lang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MAU Cong van di</Template>
  <TotalTime>17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2025-01-13T16:39:00Z</dcterms:created>
  <dc:creator>Nguyen Thi Hien</dc:creator>
  <dc:description/>
  <cp:keywords/>
  <dc:language>en-US</dc:language>
  <cp:lastModifiedBy>Windows User</cp:lastModifiedBy>
  <cp:lastPrinted>2019-06-03T09:43:00Z</cp:lastPrinted>
  <dcterms:modified xsi:type="dcterms:W3CDTF">2025-01-13T16:56:00Z</dcterms:modified>
  <cp:revision>3</cp:revision>
  <dc:subject/>
  <dc:title>TỔNG CÔNG TY HÀNG HẢI</dc:title>
</cp:coreProperties>
</file>