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30"/>
          <w:szCs w:val="30"/>
          <w:rtl w:val="0"/>
        </w:rPr>
        <w:t>Вариант №</w:t>
      </w:r>
      <w:r>
        <w:rPr>
          <w:rFonts w:hint="default" w:ascii="Times New Roman" w:hAnsi="Times New Roman" w:eastAsia="Times New Roman" w:cs="Times New Roman"/>
          <w:b/>
          <w:color w:val="000000"/>
          <w:sz w:val="30"/>
          <w:szCs w:val="30"/>
          <w:rtl w:val="0"/>
          <w:lang w:val="vi-VN"/>
        </w:rPr>
        <w:t>3</w:t>
      </w:r>
      <w:r>
        <w:rPr>
          <w:rFonts w:ascii="Times New Roman" w:hAnsi="Times New Roman" w:eastAsia="Times New Roman" w:cs="Times New Roman"/>
          <w:b/>
          <w:color w:val="000000"/>
          <w:sz w:val="30"/>
          <w:szCs w:val="30"/>
          <w:rtl w:val="0"/>
        </w:rPr>
        <w:t>: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Текст программы.</w:t>
      </w:r>
    </w:p>
    <w:tbl>
      <w:tblPr>
        <w:tblStyle w:val="16"/>
        <w:tblW w:w="9348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0" w:type="dxa"/>
          <w:bottom w:w="0" w:type="dxa"/>
          <w:right w:w="115" w:type="dxa"/>
        </w:tblCellMar>
      </w:tblPr>
      <w:tblGrid>
        <w:gridCol w:w="957"/>
        <w:gridCol w:w="846"/>
        <w:gridCol w:w="1713"/>
        <w:gridCol w:w="583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0" w:type="dxa"/>
            <w:bottom w:w="0" w:type="dxa"/>
            <w:right w:w="115" w:type="dxa"/>
          </w:tblCellMar>
        </w:tblPrEx>
        <w:trPr>
          <w:jc w:val="center"/>
        </w:trPr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gridSpan w:val="2"/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Содержимое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0" w:type="dxa"/>
            <w:bottom w:w="0" w:type="dxa"/>
            <w:right w:w="115" w:type="dxa"/>
          </w:tblCellMar>
        </w:tblPrEx>
        <w:trPr>
          <w:jc w:val="center"/>
        </w:trPr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Адрес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Код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Мнемоника</w:t>
            </w:r>
          </w:p>
        </w:tc>
        <w:tc>
          <w:tcPr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Комментарии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0" w:type="dxa"/>
            <w:bottom w:w="0" w:type="dxa"/>
            <w:right w:w="115" w:type="dxa"/>
          </w:tblCellMar>
        </w:tblPrEx>
        <w:trPr>
          <w:jc w:val="center"/>
        </w:trPr>
        <w:tc>
          <w:tcPr>
            <w:shd w:val="clear" w:color="auto" w:fill="auto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008</w:t>
            </w:r>
          </w:p>
        </w:tc>
        <w:tc>
          <w:tcPr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0002</w:t>
            </w:r>
          </w:p>
        </w:tc>
        <w:tc>
          <w:tcPr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Число 2 для вычисления результата по запросу ВУ-3, ВУ-2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0" w:type="dxa"/>
            <w:bottom w:w="0" w:type="dxa"/>
            <w:right w:w="115" w:type="dxa"/>
          </w:tblCellMar>
        </w:tblPrEx>
        <w:trPr>
          <w:jc w:val="center"/>
        </w:trPr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009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0000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Ячейка для наращивания значения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0" w:type="dxa"/>
            <w:bottom w:w="0" w:type="dxa"/>
            <w:right w:w="115" w:type="dxa"/>
          </w:tblCellMar>
        </w:tblPrEx>
        <w:trPr>
          <w:jc w:val="center"/>
        </w:trPr>
        <w:tc>
          <w:tcPr>
            <w:shd w:val="clear" w:color="auto" w:fill="BFBFBF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val="clear" w:color="auto" w:fill="BFBFBF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shd w:val="clear" w:color="auto" w:fill="BFBFBF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shd w:val="clear" w:color="auto" w:fill="BFBFBF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0" w:type="dxa"/>
            <w:bottom w:w="0" w:type="dxa"/>
            <w:right w:w="115" w:type="dxa"/>
          </w:tblCellMar>
        </w:tblPrEx>
        <w:trPr>
          <w:jc w:val="center"/>
        </w:trPr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020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FA00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EI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Установка состояния разрешения прерывания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0" w:type="dxa"/>
            <w:bottom w:w="0" w:type="dxa"/>
            <w:right w:w="115" w:type="dxa"/>
          </w:tblCellMar>
        </w:tblPrEx>
        <w:trPr>
          <w:jc w:val="center"/>
        </w:trPr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021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0009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ISZ 09</w:t>
            </w:r>
          </w:p>
        </w:tc>
        <w:tc>
          <w:tcPr>
            <w:vMerge w:val="restart"/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Цикл для наращивания содержимое ячейки 009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0" w:type="dxa"/>
            <w:bottom w:w="0" w:type="dxa"/>
            <w:right w:w="115" w:type="dxa"/>
          </w:tblCellMar>
        </w:tblPrEx>
        <w:trPr>
          <w:jc w:val="center"/>
        </w:trPr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022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C021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BR21</w:t>
            </w:r>
          </w:p>
        </w:tc>
        <w:tc>
          <w:tcPr>
            <w:vMerge w:val="continue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0" w:type="dxa"/>
            <w:bottom w:w="0" w:type="dxa"/>
            <w:right w:w="115" w:type="dxa"/>
          </w:tblCellMar>
        </w:tblPrEx>
        <w:trPr>
          <w:jc w:val="center"/>
        </w:trPr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023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C021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BR21</w:t>
            </w:r>
          </w:p>
        </w:tc>
        <w:tc>
          <w:tcPr>
            <w:vMerge w:val="continue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tbl>
      <w:tblPr>
        <w:tblStyle w:val="17"/>
        <w:tblW w:w="991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3"/>
        <w:gridCol w:w="778"/>
        <w:gridCol w:w="1521"/>
        <w:gridCol w:w="67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Адрес</w:t>
            </w:r>
          </w:p>
        </w:tc>
        <w:tc>
          <w:tcPr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Содержимое</w:t>
            </w:r>
          </w:p>
        </w:tc>
        <w:tc>
          <w:tcPr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Комментарии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vMerge w:val="continue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Код</w:t>
            </w: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Мнемоника</w:t>
            </w:r>
          </w:p>
        </w:tc>
        <w:tc>
          <w:tcPr>
            <w:vMerge w:val="continue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000</w:t>
            </w: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001</w:t>
            </w: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C030</w:t>
            </w: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BR 30</w:t>
            </w: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tabs>
                <w:tab w:val="left" w:pos="1250"/>
              </w:tabs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Первая команда подпрограммы - переход к основному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vi-VN"/>
              </w:rPr>
              <w:t>её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тексту,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vi-VN"/>
              </w:rPr>
              <w:t>размещённому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в ячейках 30-55.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gridSpan w:val="4"/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030</w:t>
            </w: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3057</w:t>
            </w: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MOV 57</w:t>
            </w:r>
          </w:p>
        </w:tc>
        <w:tc>
          <w:tcPr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Сохранение в буферных ячейках 57 и 58 содержимого аккумулятора и регистра переноса.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  <w:jc w:val="center"/>
        </w:trPr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031</w:t>
            </w: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F600</w:t>
            </w: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ROL</w:t>
            </w:r>
          </w:p>
        </w:tc>
        <w:tc>
          <w:tcPr>
            <w:vMerge w:val="continue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5" w:hRule="atLeast"/>
          <w:jc w:val="center"/>
        </w:trPr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032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3058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MOV 58</w:t>
            </w:r>
          </w:p>
        </w:tc>
        <w:tc>
          <w:tcPr>
            <w:vMerge w:val="continue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033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E103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TSF 3</w:t>
            </w:r>
          </w:p>
        </w:tc>
        <w:tc>
          <w:tcPr>
            <w:vMerge w:val="restart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Опрос флага ВУ-3. Если он сброшен, то переход к опросу флага ВУ-2 в ячейке 036. В противном случае переход к 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39, чтобы рассчитать (3Х-2) / 2.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034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C036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BR 36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035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C039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BR 39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036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E102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TSF 2</w:t>
            </w:r>
          </w:p>
        </w:tc>
        <w:tc>
          <w:tcPr>
            <w:vMerge w:val="restart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Опрос флага ВУ-2. Если он сброшен, то переход к 04F.             В противном случае переход к (043),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чтобы рассчитать 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rtl w:val="0"/>
              </w:rPr>
              <w:t>Х/2+10.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037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C04F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BR 4F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038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C043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BR 43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039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F200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CLA</w:t>
            </w:r>
          </w:p>
        </w:tc>
        <w:tc>
          <w:tcPr>
            <w:vMerge w:val="restart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Обработка запроса ВУ-3: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  <w:lang w:val="vi-VN"/>
              </w:rPr>
              <w:t>подсчёт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 результата, вывод результата, сброс флага ВУ-3, переход к восстановлению А и С и выходу из подпрограммы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в ячейках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050 – 054.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03A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4009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 009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03B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4009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 009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03C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4009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 009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03D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6008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SUB 008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03E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F700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ROR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03F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F300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CLC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040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E303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OUT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041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E003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CLF 3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042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C04F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BR 04F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043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F200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CLA</w:t>
            </w:r>
          </w:p>
        </w:tc>
        <w:tc>
          <w:tcPr>
            <w:vMerge w:val="restart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Обработка запроса ВУ-3: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  <w:lang w:val="vi-VN"/>
              </w:rPr>
              <w:t>подсчёт</w:t>
            </w:r>
            <w:bookmarkStart w:id="1" w:name="_GoBack"/>
            <w:bookmarkEnd w:id="1"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 результата, вывод результата, сброс флаги ВУ-2 и ВУ-3, переход к восстановлению А и С и выходу из подпрограммы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в ячейках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050 – 054.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044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4009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 009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045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F700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ROR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046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F300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CLC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047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4008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 008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048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4008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 008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049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4008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 008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04A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4008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 008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04B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4008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 008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" w:hRule="atLeast"/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04C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E303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OUT 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" w:hRule="atLeast"/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04D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E003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CLF 3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04E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E002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CLF 2</w:t>
            </w:r>
          </w:p>
        </w:tc>
        <w:tc>
          <w:tcPr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Очистка флага ВУ-2.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04F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E001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CLF 1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Очистка флага ВУ-1.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050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F200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CLA</w:t>
            </w:r>
          </w:p>
        </w:tc>
        <w:tc>
          <w:tcPr>
            <w:vMerge w:val="restart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left="-50" w:firstLine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Восстановление содержимого </w:t>
            </w:r>
          </w:p>
          <w:p>
            <w:pPr>
              <w:spacing w:line="240" w:lineRule="auto"/>
              <w:ind w:left="-5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регистра переноса и аккумулятора.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051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4058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ADD 058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052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F700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ROR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053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F200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CLA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  <w:jc w:val="center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054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4057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ADD 057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055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FA00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EI</w:t>
            </w:r>
          </w:p>
        </w:tc>
        <w:tc>
          <w:tcPr>
            <w:vMerge w:val="restart"/>
            <w:tcBorders>
              <w:top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Возобновление состояния разрешения прерывания и выход из подпрограммы.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056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C800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BR (0)</w:t>
            </w:r>
          </w:p>
        </w:tc>
        <w:tc>
          <w:tcPr>
            <w:vMerge w:val="continue"/>
            <w:tcBorders>
              <w:top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057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0000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rtl w:val="0"/>
              </w:rPr>
              <w:t>Ячейки для сохранения содержимого аккумулятора и регистра переноса.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058</w:t>
            </w: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0000</w:t>
            </w: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Методика проверки программы.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Загрузить комплекс программ в память базовой ЭВМ.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• Запустить основную программу в автоматическом режиме с адреса 020.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• Установить флаг готовности ВУ- 3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После установить флаг готовности ВУ- 3, будет выполнен переход к подпрограмме обработки прерываний (рассчитать для него результат вычислений (3Х - 2)/2 )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• После сброса флага ВУ-3, что означает завершение обработки прерывания ВУ-3, остановить выполнение подпрограммы.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sz w:val="28"/>
          <w:szCs w:val="28"/>
          <w:rtl w:val="0"/>
        </w:rPr>
        <w:t>• Определить содержимое ячейки 009, посчитать для него результат вычислений (3Х - 2)/2, сравнить 8 младших бит полученного результата с содержимым РД ВУ-3.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• Запустить основную программу в автоматическом режиме с адреса 020.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• Установить флаг готовности ВУ- 2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После установить флаг готовности ВУ- 2, будет выполнен переход к подпрограмме обработки прерываний (рассчитать для него результат вычислений (Х/2 +10) 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• После сброса флаги ВУ-3 и ВУ - 2, что означает завершение обработки прерывания ВУ2, остановить выполнение подпрограммы 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Определить содержимое ячейки 009, посчитать для него результат вычислений (Х/2 + 10), сравнить 8 младших бит полученного результата с содержимым РД ВУ-3.</w:t>
      </w:r>
    </w:p>
    <w:sectPr>
      <w:pgSz w:w="12240" w:h="15840"/>
      <w:pgMar w:top="851" w:right="1440" w:bottom="851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AE760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next w:val="1"/>
    <w:link w:val="14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character" w:customStyle="1" w:styleId="14">
    <w:name w:val="Heading 3 Char"/>
    <w:basedOn w:val="8"/>
    <w:link w:val="4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7"/>
    <w:basedOn w:val="13"/>
    <w:uiPriority w:val="0"/>
    <w:tblPr>
      <w:tblCellMar>
        <w:top w:w="0" w:type="dxa"/>
        <w:left w:w="100" w:type="dxa"/>
        <w:bottom w:w="0" w:type="dxa"/>
        <w:right w:w="115" w:type="dxa"/>
      </w:tblCellMar>
    </w:tblPr>
  </w:style>
  <w:style w:type="table" w:customStyle="1" w:styleId="17">
    <w:name w:val="_Style 18"/>
    <w:basedOn w:val="13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SAKG3vGML2CQn1vOtn7mpn3+ug==">CgMxLjAyCGguZ2pkZ3hzOAByITFLekhuYW5laFU3RmQ5bUdNd3V4cXdQbEJTMlpuSk9pWQ==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2020-11-17T23:48:00Z</dcterms:created>
  <dc:creator>TUAN KIET</dc:creator>
  <cp:lastModifiedBy>Cương Nguyễn Lê</cp:lastModifiedBy>
  <dcterms:modified xsi:type="dcterms:W3CDTF">2024-04-25T07:54:15Z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705B0C91B7CD41A4BCA1E91AB8253883_13</vt:lpwstr>
  </property>
</Properties>
</file>