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  <w:rtl w:val="0"/>
        </w:rPr>
        <w:t>Вариант №2:</w:t>
      </w:r>
    </w:p>
    <w:p>
      <w:pPr>
        <w:numPr>
          <w:ilvl w:val="0"/>
          <w:numId w:val="1"/>
        </w:numPr>
        <w:spacing w:line="240" w:lineRule="auto"/>
        <w:ind w:left="580" w:leftChars="0" w:hanging="360" w:firstLineChars="0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rtl w:val="0"/>
        </w:rPr>
        <w:t>Текст программы.</w:t>
      </w:r>
    </w:p>
    <w:tbl>
      <w:tblPr>
        <w:tblStyle w:val="17"/>
        <w:tblW w:w="9348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0" w:type="dxa"/>
          <w:bottom w:w="0" w:type="dxa"/>
          <w:right w:w="115" w:type="dxa"/>
        </w:tblCellMar>
      </w:tblPr>
      <w:tblGrid>
        <w:gridCol w:w="957"/>
        <w:gridCol w:w="846"/>
        <w:gridCol w:w="1713"/>
        <w:gridCol w:w="583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gridSpan w:val="2"/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Содержимое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Адрес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Код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Мнемоника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Комментарии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008</w:t>
            </w:r>
          </w:p>
        </w:tc>
        <w:tc>
          <w:tcPr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0002</w:t>
            </w:r>
          </w:p>
        </w:tc>
        <w:tc>
          <w:tcPr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Число 2 для вычисления результата по запросу ВУ-3, ВУ-2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009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0000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Ячейка для наращивания значения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BFBFBF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val="clear" w:color="auto" w:fill="BFBFBF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shd w:val="clear" w:color="auto" w:fill="BFBFBF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shd w:val="clear" w:color="auto" w:fill="BFBFBF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020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FA00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EI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Установка состояния разрешения прерывания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021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0009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ISZ 09</w:t>
            </w:r>
          </w:p>
        </w:tc>
        <w:tc>
          <w:tcPr>
            <w:vMerge w:val="restart"/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Цикл для наращивания содержимой ячейки 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022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C021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BR21</w:t>
            </w:r>
          </w:p>
        </w:tc>
        <w:tc>
          <w:tcPr>
            <w:vMerge w:val="continue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0" w:type="dxa"/>
            <w:bottom w:w="0" w:type="dxa"/>
            <w:right w:w="115" w:type="dxa"/>
          </w:tblCellMar>
        </w:tblPrEx>
        <w:trPr>
          <w:jc w:val="center"/>
        </w:trPr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023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C021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BR21</w:t>
            </w:r>
          </w:p>
        </w:tc>
        <w:tc>
          <w:tcPr>
            <w:vMerge w:val="continue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18"/>
        <w:tblW w:w="991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3"/>
        <w:gridCol w:w="778"/>
        <w:gridCol w:w="1521"/>
        <w:gridCol w:w="67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Адрес</w:t>
            </w:r>
          </w:p>
        </w:tc>
        <w:tc>
          <w:tcPr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Содержимое</w:t>
            </w:r>
          </w:p>
        </w:tc>
        <w:tc>
          <w:tcPr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Комментарии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vMerge w:val="continue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Код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  <w:rtl w:val="0"/>
              </w:rPr>
              <w:t>Мнемоника</w:t>
            </w:r>
          </w:p>
        </w:tc>
        <w:tc>
          <w:tcPr>
            <w:vMerge w:val="continue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001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C030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30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tabs>
                <w:tab w:val="left" w:pos="1250"/>
              </w:tabs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Первая команда подпрограммы - переход к основному ее тексту, размещенному в ячейках 30-55.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gridSpan w:val="4"/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3057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MOV 57</w:t>
            </w:r>
          </w:p>
        </w:tc>
        <w:tc>
          <w:tcPr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Сохранение в буферных ячейках 57 и 58 содержимого аккумулятора и регистра переноса.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" w:hRule="atLeast"/>
          <w:jc w:val="center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031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F600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ROL</w:t>
            </w:r>
          </w:p>
        </w:tc>
        <w:tc>
          <w:tcPr>
            <w:vMerge w:val="continu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5" w:hRule="atLeast"/>
          <w:jc w:val="center"/>
        </w:trPr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032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3058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MOV 58</w:t>
            </w:r>
          </w:p>
        </w:tc>
        <w:tc>
          <w:tcPr>
            <w:vMerge w:val="continu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033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E103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TSF 3</w:t>
            </w:r>
          </w:p>
        </w:tc>
        <w:tc>
          <w:tcPr>
            <w:vMerge w:val="restart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Опрос флага ВУ-3. Если он сброшен, то переход к опросу флага ВУ-2 в ячейке 036. В противном случае переход к 0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39, чтобы рассчитать (3Х-2) / 2.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034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C036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36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035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C039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39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036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E102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TSF 2</w:t>
            </w:r>
          </w:p>
        </w:tc>
        <w:tc>
          <w:tcPr>
            <w:vMerge w:val="restart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Опрос флага ВУ-2. Если он сброшен, то переход к 04F.             В противном случае переход к (043),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чтобы рассчитать </w:t>
            </w: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Х/2+10.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037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C04F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4F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038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C043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43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039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F200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CLA</w:t>
            </w:r>
          </w:p>
        </w:tc>
        <w:tc>
          <w:tcPr>
            <w:vMerge w:val="restart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Обработка запроса ВУ-3: подсчет результата, вывод результата, сброс флага ВУ-3, переход к восстановлению А и С и выходу из подпрограммы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ячейках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050 – 054.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03A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4009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009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03B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4009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009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03C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4009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009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03D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6008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SUB 008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03E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F700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ROR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03F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F300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CLC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E303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OUT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041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E003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CLF 3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042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C04F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04F</w:t>
            </w:r>
          </w:p>
        </w:tc>
        <w:tc>
          <w:tcPr>
            <w:vMerge w:val="continue"/>
            <w:tcBorders>
              <w:top w:val="single" w:color="000000" w:sz="4" w:space="0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043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F200</w:t>
            </w:r>
          </w:p>
        </w:tc>
        <w:tc>
          <w:tcPr>
            <w:tcBorders>
              <w:top w:val="single" w:color="000000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CLA</w:t>
            </w:r>
          </w:p>
        </w:tc>
        <w:tc>
          <w:tcPr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Обработка запроса ВУ-3: подсчет результата, вывод результата, сброс флаги ВУ-2 и ВУ-3, переход к восстановлению А и С и выходу из подпрограммы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 ячейках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050 – 054.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044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4009</w:t>
            </w:r>
          </w:p>
        </w:tc>
        <w:tc>
          <w:tcPr>
            <w:tcBorders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009</w:t>
            </w:r>
          </w:p>
        </w:tc>
        <w:tc>
          <w:tcPr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045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F700</w:t>
            </w:r>
          </w:p>
        </w:tc>
        <w:tc>
          <w:tcPr>
            <w:tcBorders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ROR</w:t>
            </w:r>
          </w:p>
        </w:tc>
        <w:tc>
          <w:tcPr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046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F300</w:t>
            </w:r>
          </w:p>
        </w:tc>
        <w:tc>
          <w:tcPr>
            <w:tcBorders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CLC</w:t>
            </w:r>
          </w:p>
        </w:tc>
        <w:tc>
          <w:tcPr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047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4008</w:t>
            </w:r>
          </w:p>
        </w:tc>
        <w:tc>
          <w:tcPr>
            <w:tcBorders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008</w:t>
            </w:r>
          </w:p>
        </w:tc>
        <w:tc>
          <w:tcPr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4008</w:t>
            </w:r>
          </w:p>
        </w:tc>
        <w:tc>
          <w:tcPr>
            <w:tcBorders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008</w:t>
            </w:r>
          </w:p>
        </w:tc>
        <w:tc>
          <w:tcPr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049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4008</w:t>
            </w:r>
          </w:p>
        </w:tc>
        <w:tc>
          <w:tcPr>
            <w:tcBorders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008</w:t>
            </w:r>
          </w:p>
        </w:tc>
        <w:tc>
          <w:tcPr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04A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4008</w:t>
            </w:r>
          </w:p>
        </w:tc>
        <w:tc>
          <w:tcPr>
            <w:tcBorders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008</w:t>
            </w:r>
          </w:p>
        </w:tc>
        <w:tc>
          <w:tcPr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04B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4008</w:t>
            </w:r>
          </w:p>
        </w:tc>
        <w:tc>
          <w:tcPr>
            <w:tcBorders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 008</w:t>
            </w:r>
          </w:p>
        </w:tc>
        <w:tc>
          <w:tcPr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04C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E303</w:t>
            </w:r>
          </w:p>
        </w:tc>
        <w:tc>
          <w:tcPr>
            <w:tcBorders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OUT </w:t>
            </w:r>
          </w:p>
        </w:tc>
        <w:tc>
          <w:tcPr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04D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E003</w:t>
            </w:r>
          </w:p>
        </w:tc>
        <w:tc>
          <w:tcPr>
            <w:tcBorders>
              <w:right w:val="single" w:color="auto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CLF 3</w:t>
            </w:r>
          </w:p>
        </w:tc>
        <w:tc>
          <w:tcPr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04E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E002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CLF 2</w:t>
            </w:r>
          </w:p>
        </w:tc>
        <w:tc>
          <w:tcPr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Очистка флага ВУ-2.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04F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E001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CLF 1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Очистка флага ВУ-1.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050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F200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CLA</w:t>
            </w:r>
          </w:p>
        </w:tc>
        <w:tc>
          <w:tcPr>
            <w:vMerge w:val="restart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left="-5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Восстановление содержимого </w:t>
            </w:r>
          </w:p>
          <w:p>
            <w:pPr>
              <w:spacing w:line="240" w:lineRule="auto"/>
              <w:ind w:left="-5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регистра переноса и аккумулятора.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051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4058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ADD 058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052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F700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ROR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lef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053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F200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CLA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  <w:jc w:val="center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054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4057</w:t>
            </w:r>
          </w:p>
        </w:tc>
        <w:tc>
          <w:tcPr>
            <w:tcBorders>
              <w:bottom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ADD 057</w:t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055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FA00</w:t>
            </w:r>
          </w:p>
        </w:tc>
        <w:tc>
          <w:tcPr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EI</w:t>
            </w:r>
          </w:p>
        </w:tc>
        <w:tc>
          <w:tcPr>
            <w:vMerge w:val="restart"/>
            <w:tcBorders>
              <w:top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Возобновление состояния разрешения прерывания и выход из подпрограммы.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056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C800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BR (0)</w:t>
            </w:r>
          </w:p>
        </w:tc>
        <w:tc>
          <w:tcPr>
            <w:vMerge w:val="continue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057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0000</w:t>
            </w:r>
          </w:p>
        </w:tc>
        <w:tc>
          <w:tcPr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rtl w:val="0"/>
              </w:rPr>
              <w:t>Ячейки для сохранения содержимого аккумулятора и регистра переноса.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058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0000</w:t>
            </w:r>
          </w:p>
        </w:tc>
        <w:tc>
          <w:tcPr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58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Методика проверки программы.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Загрузить комплекс программ в память базовой ЭВМ.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Запустить основную программу в автоматическом режиме с адреса 020.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Установить флаг готовности ВУ- 3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 установить флаг готовности ВУ- 3, будет выполнен переход к подпрограмме обработки прерываний (посчитать для него результат вычислений (3Х - 2)/2 )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После сброса флага ВУ-3, что означает завершение обработки прерывания ВУ-3, остановить выполнение подпрограммы 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Определить содержимое ячейки 009, посчитать для него результат вычислений (3Х - 2)/2, сравнить 8 младших бит полученного результата с содержимым РД ВУ-3.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Запустить основную программу в автоматическом режиме с адреса 020.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Установить флаг готовности ВУ- 2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После установить флаг готовности ВУ- 2, будет выполнен переход к подпрограмме обработки прерываний (посчитать для него результат вычислений (Х/2 +10) 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• После сброса флаги ВУ-3 и ВУ - 2, что означает завершение обработки прерывания ВУ-2, остановить выполнение подпрограммы 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Определить содержимое ячейки 009, посчитать для него результат вычислений (Х/2 + 10), сравнить 8 младших бит полученного результата с содержимым РД ВУ-3.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265"/>
        <w:gridCol w:w="1581"/>
        <w:gridCol w:w="1581"/>
        <w:gridCol w:w="3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 xml:space="preserve">Значение ячейки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26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ВУ-3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Значение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ВУ-3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Идеальное значение</w:t>
            </w:r>
          </w:p>
        </w:tc>
        <w:tc>
          <w:tcPr>
            <w:tcW w:w="3734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Причина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0002</w:t>
            </w:r>
          </w:p>
        </w:tc>
        <w:tc>
          <w:tcPr>
            <w:tcW w:w="126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02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0002</w:t>
            </w:r>
          </w:p>
        </w:tc>
        <w:tc>
          <w:tcPr>
            <w:tcW w:w="3734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Всё верно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0000</w:t>
            </w:r>
          </w:p>
        </w:tc>
        <w:tc>
          <w:tcPr>
            <w:tcW w:w="126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FF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8001</w:t>
            </w:r>
          </w:p>
        </w:tc>
        <w:tc>
          <w:tcPr>
            <w:tcW w:w="3734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Не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 xml:space="preserve"> верно ( не все биты вошли в ВУ)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X = 0002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3x = 0000 0000 0000 0110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3x - 2 = 0000 0000 0000 0100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(3x-2)/2 = 0000 0000 0000 0010 = 2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X = 0000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3x = 0000 0000 0000 0000</w:t>
      </w:r>
    </w:p>
    <w:p>
      <w:pPr>
        <w:jc w:val="center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3x - 2 =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1111 1111 1111 1110</w:t>
      </w:r>
    </w:p>
    <w:p>
      <w:pPr>
        <w:jc w:val="center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en-US"/>
        </w:rPr>
        <w:t>(3x - 2)/2 = 1111 1111 1111 1111 = FF  !=  8001</w:t>
      </w:r>
    </w:p>
    <w:p>
      <w:pPr>
        <w:jc w:val="center"/>
        <w:rPr>
          <w:rFonts w:hint="default" w:ascii="Times New Roman" w:hAnsi="Times New Roman" w:eastAsia="Times New Roman"/>
          <w:sz w:val="28"/>
          <w:szCs w:val="28"/>
          <w:lang w:val="ru-RU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265"/>
        <w:gridCol w:w="1581"/>
        <w:gridCol w:w="1581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 xml:space="preserve">Значение ячейки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26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ВУ-2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Значение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ВУ-3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Идеальное значение</w:t>
            </w:r>
          </w:p>
        </w:tc>
        <w:tc>
          <w:tcPr>
            <w:tcW w:w="3718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Причина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01EA</w:t>
            </w:r>
          </w:p>
        </w:tc>
        <w:tc>
          <w:tcPr>
            <w:tcW w:w="126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FF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00FF</w:t>
            </w:r>
          </w:p>
        </w:tc>
        <w:tc>
          <w:tcPr>
            <w:tcW w:w="3718" w:type="dxa"/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Всё верно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01EC</w:t>
            </w:r>
          </w:p>
        </w:tc>
        <w:tc>
          <w:tcPr>
            <w:tcW w:w="1265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7FFF</w:t>
            </w:r>
          </w:p>
        </w:tc>
        <w:tc>
          <w:tcPr>
            <w:tcW w:w="158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  <w:t>FFFF</w:t>
            </w:r>
          </w:p>
        </w:tc>
        <w:tc>
          <w:tcPr>
            <w:tcW w:w="3718" w:type="dxa"/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>Не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vertAlign w:val="baseline"/>
                <w:lang w:val="ru-RU"/>
              </w:rPr>
              <w:t xml:space="preserve"> верно ( не все биты вошли в ВУ)</w:t>
            </w:r>
            <w:bookmarkStart w:id="1" w:name="_GoBack"/>
            <w:bookmarkEnd w:id="1"/>
          </w:p>
        </w:tc>
      </w:tr>
    </w:tbl>
    <w:p>
      <w:pPr>
        <w:jc w:val="center"/>
        <w:rPr>
          <w:rFonts w:hint="default" w:ascii="Times New Roman" w:hAnsi="Times New Roman" w:eastAsia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X = </w:t>
      </w:r>
      <w:r>
        <w:rPr>
          <w:rFonts w:hint="default" w:ascii="Times New Roman" w:hAnsi="Times New Roman" w:eastAsia="Times New Roman" w:cs="Times New Roman"/>
          <w:sz w:val="28"/>
          <w:szCs w:val="28"/>
          <w:vertAlign w:val="baseline"/>
          <w:lang w:val="en-US"/>
        </w:rPr>
        <w:t>01EA</w:t>
      </w:r>
    </w:p>
    <w:p>
      <w:pPr>
        <w:jc w:val="center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X/2 = 0000 0000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1111 0101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X/2 + 10 = 0000 0000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1111 1111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= 00FF ( 255</w:t>
      </w:r>
      <w:r>
        <w:rPr>
          <w:rFonts w:hint="default"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hint="default" w:ascii="Times New Roman" w:hAnsi="Times New Roman" w:eastAsia="Times New Roman" w:cs="Times New Roman"/>
          <w:sz w:val="28"/>
          <w:szCs w:val="28"/>
          <w:vertAlign w:val="baseline"/>
          <w:lang w:val="en-US"/>
        </w:rPr>
        <w:t>)</w:t>
      </w:r>
      <w:r>
        <w:rPr>
          <w:rFonts w:hint="default" w:ascii="Times New Roman" w:hAnsi="Times New Roman" w:eastAsia="Times New Roman" w:cs="Times New Roman"/>
          <w:sz w:val="28"/>
          <w:szCs w:val="28"/>
          <w:vertAlign w:val="subscript"/>
          <w:lang w:val="en-US"/>
        </w:rPr>
        <w:t xml:space="preserve"> 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X = </w:t>
      </w:r>
      <w:r>
        <w:rPr>
          <w:rFonts w:hint="default" w:ascii="Times New Roman" w:hAnsi="Times New Roman" w:eastAsia="Times New Roman" w:cs="Times New Roman"/>
          <w:sz w:val="28"/>
          <w:szCs w:val="28"/>
          <w:vertAlign w:val="baseline"/>
          <w:lang w:val="en-US"/>
        </w:rPr>
        <w:t>01EC</w:t>
      </w:r>
    </w:p>
    <w:p>
      <w:pPr>
        <w:jc w:val="center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X/2</w:t>
      </w: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= 0000 0000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1111 0110</w:t>
      </w:r>
    </w:p>
    <w:p>
      <w:pPr>
        <w:jc w:val="center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X/2 + 10 = 0000 0000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1111 1111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= 00FF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( 32767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в 10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системе)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!= FFFF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 xml:space="preserve"> (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 xml:space="preserve"> -1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в 10 системе)</w:t>
      </w:r>
    </w:p>
    <w:p>
      <w:pPr>
        <w:jc w:val="center"/>
        <w:rPr>
          <w:rFonts w:hint="default" w:ascii="Times New Roman" w:hAnsi="Times New Roman" w:eastAsia="Times New Roman"/>
          <w:sz w:val="28"/>
          <w:szCs w:val="28"/>
          <w:lang w:val="ru-RU"/>
        </w:rPr>
      </w:pPr>
    </w:p>
    <w:sectPr>
      <w:pgSz w:w="12240" w:h="15840"/>
      <w:pgMar w:top="851" w:right="1440" w:bottom="851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8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08005B"/>
    <w:rsid w:val="320C7EA9"/>
    <w:rsid w:val="344B06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next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ing 3 Char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4"/>
    <w:qFormat/>
    <w:uiPriority w:val="0"/>
    <w:tblPr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18">
    <w:name w:val="_Style 18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19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NY4jdAStaG06YCNhU/RPPfVjlA==">CgMxLjAyCGguZ2pkZ3hzOAByITEzaTlaQkNLMDY3Z1k1ZHQwV1BUNWRFNGloV3hsSnpJbg==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2020-11-17T23:48:00Z</dcterms:created>
  <dc:creator>TUAN KIET</dc:creator>
  <cp:lastModifiedBy>Cương Nguyễn Lê</cp:lastModifiedBy>
  <dcterms:modified xsi:type="dcterms:W3CDTF">2024-05-23T10:41:14Z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1D87A893DF31479585739FF60F18B18D_12</vt:lpwstr>
  </property>
</Properties>
</file>