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Khoác áo ERP lên thiết kế Accounting-first</w:t>
      </w:r>
    </w:p>
    <w:p>
      <w:pPr>
        <w:pBdr>
          <w:bottom w:val="single" w:color="2E5597" w:sz="8" w:space="4"/>
        </w:pBdr>
        <w:spacing w:after="240"/>
      </w:pPr>
      <w:r>
        <w:rPr>
          <w:rFonts w:ascii="Arial" w:cs="Arial" w:eastAsia="Arial" w:hAnsi="Arial"/>
          <w:i/>
          <w:iCs/>
          <w:color w:val="595959"/>
          <w:sz w:val="22"/>
          <w:szCs w:val="22"/>
        </w:rPr>
        <w:t xml:space="preserve">Làm sao để nghiệp vụ ERP đi vào lõi kế toán mà không cần tầng ETL</w:t>
      </w:r>
    </w:p>
    <w:p>
      <w:pPr>
        <w:spacing w:after="120" w:line="300"/>
      </w:pPr>
      <w:r>
        <w:rPr>
          <w:rFonts w:ascii="Arial" w:cs="Arial" w:eastAsia="Arial" w:hAnsi="Arial"/>
          <w:sz w:val="22"/>
          <w:szCs w:val="22"/>
        </w:rPr>
        <w:t xml:space="preserve">Điều cần phân biệt là </w:t>
      </w:r>
      <w:r>
        <w:rPr>
          <w:rFonts w:ascii="Arial" w:cs="Arial" w:eastAsia="Arial" w:hAnsi="Arial"/>
          <w:b/>
          <w:bCs/>
          <w:sz w:val="22"/>
          <w:szCs w:val="22"/>
        </w:rPr>
        <w:t xml:space="preserve">ETL</w:t>
      </w:r>
      <w:r>
        <w:rPr>
          <w:rFonts w:ascii="Arial" w:cs="Arial" w:eastAsia="Arial" w:hAnsi="Arial"/>
          <w:sz w:val="22"/>
          <w:szCs w:val="22"/>
        </w:rPr>
        <w:t xml:space="preserve"> với </w:t>
      </w:r>
      <w:r>
        <w:rPr>
          <w:rFonts w:ascii="Arial" w:cs="Arial" w:eastAsia="Arial" w:hAnsi="Arial"/>
          <w:b/>
          <w:bCs/>
          <w:sz w:val="22"/>
          <w:szCs w:val="22"/>
        </w:rPr>
        <w:t xml:space="preserve">việc chuyển nghiệp vụ thành định khoản</w:t>
      </w:r>
      <w:r>
        <w:rPr>
          <w:rFonts w:ascii="Arial" w:cs="Arial" w:eastAsia="Arial" w:hAnsi="Arial"/>
          <w:sz w:val="22"/>
          <w:szCs w:val="22"/>
        </w:rPr>
        <w:t xml:space="preserve">. Cái thứ hai không tránh được vì đó là bản chất của kế toán, nhưng nó không nhất thiết là ETL.</w:t>
      </w:r>
    </w:p>
    <w:p>
      <w:pPr>
        <w:pStyle w:val="Heading1"/>
        <w:spacing w:after="140" w:before="320"/>
      </w:pPr>
      <w:r>
        <w:rPr>
          <w:rFonts w:ascii="Arial" w:cs="Arial" w:eastAsia="Arial" w:hAnsi="Arial"/>
          <w:b/>
          <w:bCs/>
          <w:color w:val="1F3864"/>
          <w:sz w:val="28"/>
          <w:szCs w:val="28"/>
        </w:rPr>
        <w:t xml:space="preserve">1. ETL khác "hạch toán" ở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3900"/>
        <w:gridCol w:w="3900"/>
      </w:tblGrid>
      <w:tr>
        <w:trPr>
          <w:tblHeader/>
        </w:trPr>
        <w:tc>
          <w:tcPr>
            <w:tcW w:type="dxa" w:w="1838"/>
            <w:tcBorders>
              <w:top w:val="single" w:color="A6A6A6" w:sz="4"/>
              <w:left w:val="single" w:color="A6A6A6" w:sz="4"/>
              <w:bottom w:val="single" w:color="A6A6A6" w:sz="4"/>
              <w:right w:val="single" w:color="A6A6A6" w:sz="4"/>
            </w:tcBorders>
            <w:shd w:fill="D9E2F3" w:color="auto" w:val="clear"/>
            <w:tcMar>
              <w:top w:type="dxa" w:w="80"/>
              <w:left w:type="dxa" w:w="120"/>
              <w:bottom w:type="dxa" w:w="80"/>
              <w:right w:type="dxa" w:w="120"/>
            </w:tcMar>
          </w:tcPr>
          <w:p>
            <w:pPr>
              <w:spacing w:after="0" w:line="280"/>
            </w:pPr>
            <w:r>
              <w:rPr>
                <w:rFonts w:ascii="Arial" w:cs="Arial" w:eastAsia="Arial" w:hAnsi="Arial"/>
                <w:b/>
                <w:bCs/>
                <w:sz w:val="20"/>
                <w:szCs w:val="20"/>
              </w:rPr>
              <w:t xml:space="preserve"/>
            </w:r>
          </w:p>
        </w:tc>
        <w:tc>
          <w:tcPr>
            <w:tcW w:type="dxa" w:w="3900"/>
            <w:tcBorders>
              <w:top w:val="single" w:color="A6A6A6" w:sz="4"/>
              <w:left w:val="single" w:color="A6A6A6" w:sz="4"/>
              <w:bottom w:val="single" w:color="A6A6A6" w:sz="4"/>
              <w:right w:val="single" w:color="A6A6A6" w:sz="4"/>
            </w:tcBorders>
            <w:shd w:fill="D9E2F3" w:color="auto" w:val="clear"/>
            <w:tcMar>
              <w:top w:type="dxa" w:w="80"/>
              <w:left w:type="dxa" w:w="120"/>
              <w:bottom w:type="dxa" w:w="80"/>
              <w:right w:type="dxa" w:w="120"/>
            </w:tcMar>
          </w:tcPr>
          <w:p>
            <w:pPr>
              <w:spacing w:after="0" w:line="280"/>
            </w:pPr>
            <w:r>
              <w:rPr>
                <w:rFonts w:ascii="Arial" w:cs="Arial" w:eastAsia="Arial" w:hAnsi="Arial"/>
                <w:b/>
                <w:bCs/>
                <w:sz w:val="20"/>
                <w:szCs w:val="20"/>
              </w:rPr>
              <w:t xml:space="preserve">ETL</w:t>
            </w:r>
          </w:p>
        </w:tc>
        <w:tc>
          <w:tcPr>
            <w:tcW w:type="dxa" w:w="3900"/>
            <w:tcBorders>
              <w:top w:val="single" w:color="A6A6A6" w:sz="4"/>
              <w:left w:val="single" w:color="A6A6A6" w:sz="4"/>
              <w:bottom w:val="single" w:color="A6A6A6" w:sz="4"/>
              <w:right w:val="single" w:color="A6A6A6" w:sz="4"/>
            </w:tcBorders>
            <w:shd w:fill="D9E2F3" w:color="auto" w:val="clear"/>
            <w:tcMar>
              <w:top w:type="dxa" w:w="80"/>
              <w:left w:type="dxa" w:w="120"/>
              <w:bottom w:type="dxa" w:w="80"/>
              <w:right w:type="dxa" w:w="120"/>
            </w:tcMar>
          </w:tcPr>
          <w:p>
            <w:pPr>
              <w:spacing w:after="0" w:line="280"/>
            </w:pPr>
            <w:r>
              <w:rPr>
                <w:rFonts w:ascii="Arial" w:cs="Arial" w:eastAsia="Arial" w:hAnsi="Arial"/>
                <w:b/>
                <w:bCs/>
                <w:sz w:val="20"/>
                <w:szCs w:val="20"/>
              </w:rPr>
              <w:t xml:space="preserve">Hạch toán (posting)</w:t>
            </w:r>
          </w:p>
        </w:tc>
      </w:tr>
      <w:tr>
        <w:trPr>
          <w:tblHeader w:val="false"/>
        </w:trPr>
        <w:tc>
          <w:tcPr>
            <w:tcW w:type="dxa" w:w="1838"/>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Bản chất</w:t>
            </w:r>
          </w:p>
        </w:tc>
        <w:tc>
          <w:tcPr>
            <w:tcW w:type="dxa" w:w="39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Sao chép và biến đổi dữ liệu giữa hai kho</w:t>
            </w:r>
          </w:p>
        </w:tc>
        <w:tc>
          <w:tcPr>
            <w:tcW w:type="dxa" w:w="39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Áp dụng quy tắc nghiệp vụ để sinh định khoản</w:t>
            </w:r>
          </w:p>
        </w:tc>
      </w:tr>
      <w:tr>
        <w:trPr>
          <w:tblHeader w:val="false"/>
        </w:trPr>
        <w:tc>
          <w:tcPr>
            <w:tcW w:type="dxa" w:w="1838"/>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Thời điểm</w:t>
            </w:r>
          </w:p>
        </w:tc>
        <w:tc>
          <w:tcPr>
            <w:tcW w:type="dxa" w:w="39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Thường bất đồng bộ, theo lô</w:t>
            </w:r>
          </w:p>
        </w:tc>
        <w:tc>
          <w:tcPr>
            <w:tcW w:type="dxa" w:w="39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Đồng bộ, cùng một giao dịch</w:t>
            </w:r>
          </w:p>
        </w:tc>
      </w:tr>
      <w:tr>
        <w:trPr>
          <w:tblHeader w:val="false"/>
        </w:trPr>
        <w:tc>
          <w:tcPr>
            <w:tcW w:type="dxa" w:w="1838"/>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Kho dữ liệu</w:t>
            </w:r>
          </w:p>
        </w:tc>
        <w:tc>
          <w:tcPr>
            <w:tcW w:type="dxa" w:w="39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Hai nơi, phải đối soát</w:t>
            </w:r>
          </w:p>
        </w:tc>
        <w:tc>
          <w:tcPr>
            <w:tcW w:type="dxa" w:w="39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Một nơi</w:t>
            </w:r>
          </w:p>
        </w:tc>
      </w:tr>
      <w:tr>
        <w:trPr>
          <w:tblHeader w:val="false"/>
        </w:trPr>
        <w:tc>
          <w:tcPr>
            <w:tcW w:type="dxa" w:w="1838"/>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Khái niệm</w:t>
            </w:r>
          </w:p>
        </w:tc>
        <w:tc>
          <w:tcPr>
            <w:tcW w:type="dxa" w:w="39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Hạ tầng kỹ thuật</w:t>
            </w:r>
          </w:p>
        </w:tc>
        <w:tc>
          <w:tcPr>
            <w:tcW w:type="dxa" w:w="3900"/>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line="280"/>
            </w:pPr>
            <w:r>
              <w:rPr>
                <w:rFonts w:ascii="Arial" w:cs="Arial" w:eastAsia="Arial" w:hAnsi="Arial"/>
                <w:b w:val="false"/>
                <w:bCs w:val="false"/>
                <w:sz w:val="20"/>
                <w:szCs w:val="20"/>
              </w:rPr>
              <w:t xml:space="preserve">Quy tắc nghiệp vụ (thuộc kế toán)</w:t>
            </w:r>
          </w:p>
        </w:tc>
      </w:tr>
    </w:tbl>
    <w:p>
      <w:pPr>
        <w:spacing w:after="60"/>
      </w:pPr>
      <w:r>
        <w:rPr>
          <w:rFonts w:ascii="Arial" w:cs="Arial" w:eastAsia="Arial" w:hAnsi="Arial"/>
          <w:sz w:val="22"/>
          <w:szCs w:val="22"/>
        </w:rPr>
        <w:t xml:space="preserve"/>
      </w:r>
    </w:p>
    <w:p>
      <w:pPr>
        <w:spacing w:after="120" w:line="300"/>
      </w:pPr>
      <w:r>
        <w:rPr>
          <w:rFonts w:ascii="Arial" w:cs="Arial" w:eastAsia="Arial" w:hAnsi="Arial"/>
          <w:sz w:val="22"/>
          <w:szCs w:val="22"/>
        </w:rPr>
        <w:t xml:space="preserve">Cái cần bỏ là cột ETL. Cái giữ lại, và nên đặt tên rõ ràng, là bộ quy tắc hạch toán.</w:t>
      </w:r>
    </w:p>
    <w:p>
      <w:pPr>
        <w:pStyle w:val="Heading1"/>
        <w:spacing w:after="140" w:before="320"/>
      </w:pPr>
      <w:r>
        <w:rPr>
          <w:rFonts w:ascii="Arial" w:cs="Arial" w:eastAsia="Arial" w:hAnsi="Arial"/>
          <w:b/>
          <w:bCs/>
          <w:color w:val="1F3864"/>
          <w:sz w:val="28"/>
          <w:szCs w:val="28"/>
        </w:rPr>
        <w:t xml:space="preserve">2. Kiến trúc ba lớp, kế toán vẫn là gốc</w:t>
      </w:r>
    </w:p>
    <w:p>
      <w:pPr>
        <w:pStyle w:val="ListParagraph"/>
        <w:numPr>
          <w:ilvl w:val="0"/>
          <w:numId w:val="2"/>
        </w:numPr>
        <w:spacing w:after="80" w:line="290"/>
      </w:pPr>
      <w:r>
        <w:rPr>
          <w:rFonts w:ascii="Arial" w:cs="Arial" w:eastAsia="Arial" w:hAnsi="Arial"/>
          <w:b/>
          <w:bCs/>
          <w:sz w:val="22"/>
          <w:szCs w:val="22"/>
        </w:rPr>
        <w:t xml:space="preserve">Lõi sổ cái (Accounting kernel). </w:t>
      </w:r>
      <w:r>
        <w:rPr>
          <w:rFonts w:ascii="Arial" w:cs="Arial" w:eastAsia="Arial" w:hAnsi="Arial"/>
          <w:sz w:val="22"/>
          <w:szCs w:val="22"/>
        </w:rPr>
        <w:t xml:space="preserve">Chứa tài khoản, kỳ kế toán, bút toán, bảng chiều phân tích. Bất biến cần canh giữ: mỗi bút toán luôn cân Nợ = Có; bút toán đã ghi sổ không sửa, chỉ đảo.</w:t>
      </w:r>
    </w:p>
    <w:p>
      <w:pPr>
        <w:pStyle w:val="ListParagraph"/>
        <w:numPr>
          <w:ilvl w:val="0"/>
          <w:numId w:val="2"/>
        </w:numPr>
        <w:spacing w:after="80" w:line="290"/>
      </w:pPr>
      <w:r>
        <w:rPr>
          <w:rFonts w:ascii="Arial" w:cs="Arial" w:eastAsia="Arial" w:hAnsi="Arial"/>
          <w:b/>
          <w:bCs/>
          <w:sz w:val="22"/>
          <w:szCs w:val="22"/>
        </w:rPr>
        <w:t xml:space="preserve">Quy tắc hạch toán (Posting rules). </w:t>
      </w:r>
      <w:r>
        <w:rPr>
          <w:rFonts w:ascii="Arial" w:cs="Arial" w:eastAsia="Arial" w:hAnsi="Arial"/>
          <w:sz w:val="22"/>
          <w:szCs w:val="22"/>
        </w:rPr>
        <w:t xml:space="preserve">Khai báo "sự kiện nghiệp vụ này thì định khoản ra sao". Chủ sở hữu là kế toán, không phải các module bán hàng hay kho. Nên cấu hình được (mẫu định khoản), không viết cứng.</w:t>
      </w:r>
    </w:p>
    <w:p>
      <w:pPr>
        <w:pStyle w:val="ListParagraph"/>
        <w:numPr>
          <w:ilvl w:val="0"/>
          <w:numId w:val="2"/>
        </w:numPr>
        <w:spacing w:after="80" w:line="290"/>
      </w:pPr>
      <w:r>
        <w:rPr>
          <w:rFonts w:ascii="Arial" w:cs="Arial" w:eastAsia="Arial" w:hAnsi="Arial"/>
          <w:b/>
          <w:bCs/>
          <w:sz w:val="22"/>
          <w:szCs w:val="22"/>
        </w:rPr>
        <w:t xml:space="preserve">Các module nghiệp vụ (bán hàng, mua hàng, kho, lương...). </w:t>
      </w:r>
      <w:r>
        <w:rPr>
          <w:rFonts w:ascii="Arial" w:cs="Arial" w:eastAsia="Arial" w:hAnsi="Arial"/>
          <w:sz w:val="22"/>
          <w:szCs w:val="22"/>
        </w:rPr>
        <w:t xml:space="preserve">Mỗi module sở hữu chứng từ nghiệp vụ của mình (số lượng, đối tác, giá, trạng thái). Module không được ghi thẳng vào sổ cái, chỉ gửi sự kiện kế toán theo một khuôn chuẩn.</w:t>
      </w:r>
    </w:p>
    <w:p>
      <w:pPr>
        <w:spacing w:after="120" w:before="120" w:line="300"/>
      </w:pPr>
      <w:r>
        <w:rPr>
          <w:rFonts w:ascii="Arial" w:cs="Arial" w:eastAsia="Arial" w:hAnsi="Arial"/>
          <w:b/>
          <w:bCs/>
          <w:sz w:val="22"/>
          <w:szCs w:val="22"/>
        </w:rPr>
        <w:t xml:space="preserve">Dòng chảy: </w:t>
      </w:r>
      <w:r>
        <w:rPr>
          <w:rFonts w:ascii="Arial" w:cs="Arial" w:eastAsia="Arial" w:hAnsi="Arial"/>
          <w:sz w:val="22"/>
          <w:szCs w:val="22"/>
        </w:rPr>
        <w:t xml:space="preserve">chứng từ nghiệp vụ → sự kiện kế toán → quy tắc hạch toán → bút toán. Cả chuỗi này nằm trong cùng một giao dịch cơ sở dữ liệu, nên không có độ trễ, không có hai phiên bản của sự thật và không cần đối soát.</w:t>
      </w:r>
    </w:p>
    <w:p>
      <w:pPr>
        <w:pStyle w:val="Heading1"/>
        <w:spacing w:after="140" w:before="320"/>
      </w:pPr>
      <w:r>
        <w:rPr>
          <w:rFonts w:ascii="Arial" w:cs="Arial" w:eastAsia="Arial" w:hAnsi="Arial"/>
          <w:b/>
          <w:bCs/>
          <w:color w:val="1F3864"/>
          <w:sz w:val="28"/>
          <w:szCs w:val="28"/>
        </w:rPr>
        <w:t xml:space="preserve">3. Kỹ thuật thiết kế để "áo" khớp với "khung"</w:t>
      </w:r>
    </w:p>
    <w:p>
      <w:pPr>
        <w:pStyle w:val="ListParagraph"/>
        <w:numPr>
          <w:ilvl w:val="0"/>
          <w:numId w:val="3"/>
        </w:numPr>
        <w:spacing w:after="80" w:line="290"/>
      </w:pPr>
      <w:r>
        <w:rPr>
          <w:rFonts w:ascii="Arial" w:cs="Arial" w:eastAsia="Arial" w:hAnsi="Arial"/>
          <w:b/>
          <w:bCs/>
          <w:sz w:val="22"/>
          <w:szCs w:val="22"/>
        </w:rPr>
        <w:t xml:space="preserve">Chứng từ là đơn vị chung. </w:t>
      </w:r>
      <w:r>
        <w:rPr>
          <w:rFonts w:ascii="Arial" w:cs="Arial" w:eastAsia="Arial" w:hAnsi="Arial"/>
          <w:sz w:val="22"/>
          <w:szCs w:val="22"/>
        </w:rPr>
        <w:t xml:space="preserve">Mỗi loại chứng từ nghiệp vụ (hóa đơn bán, phiếu nhập kho, phiếu chi) là một biến thể của khung chứng từ, mang thêm thuộc tính nghiệp vụ và gắn với một mẫu định khoản. UI cũng đi từ khung chứng từ này.</w:t>
      </w:r>
    </w:p>
    <w:p>
      <w:pPr>
        <w:pStyle w:val="ListParagraph"/>
        <w:numPr>
          <w:ilvl w:val="0"/>
          <w:numId w:val="3"/>
        </w:numPr>
        <w:spacing w:after="80" w:line="290"/>
      </w:pPr>
      <w:r>
        <w:rPr>
          <w:rFonts w:ascii="Arial" w:cs="Arial" w:eastAsia="Arial" w:hAnsi="Arial"/>
          <w:b/>
          <w:bCs/>
          <w:sz w:val="22"/>
          <w:szCs w:val="22"/>
        </w:rPr>
        <w:t xml:space="preserve">Mang thông tin nghiệp vụ vào dòng bút toán bằng chiều phân tích </w:t>
      </w:r>
      <w:r>
        <w:rPr>
          <w:rFonts w:ascii="Arial" w:cs="Arial" w:eastAsia="Arial" w:hAnsi="Arial"/>
          <w:sz w:val="22"/>
          <w:szCs w:val="22"/>
        </w:rPr>
        <w:t xml:space="preserve">(đối tượng, hợp đồng, sản phẩm, kho, dự án, bộ phận). Khi đó báo cáo kiểu ERP là truy vấn trực tiếp trên sổ cái, không cần kho dữ liệu phụ.</w:t>
      </w:r>
    </w:p>
    <w:p>
      <w:pPr>
        <w:pStyle w:val="ListParagraph"/>
        <w:numPr>
          <w:ilvl w:val="0"/>
          <w:numId w:val="3"/>
        </w:numPr>
        <w:spacing w:after="80" w:line="290"/>
      </w:pPr>
      <w:r>
        <w:rPr>
          <w:rFonts w:ascii="Arial" w:cs="Arial" w:eastAsia="Arial" w:hAnsi="Arial"/>
          <w:b/>
          <w:bCs/>
          <w:sz w:val="22"/>
          <w:szCs w:val="22"/>
        </w:rPr>
        <w:t xml:space="preserve">Phân chia rõ ai là nguồn của cái gì. </w:t>
      </w:r>
      <w:r>
        <w:rPr>
          <w:rFonts w:ascii="Arial" w:cs="Arial" w:eastAsia="Arial" w:hAnsi="Arial"/>
          <w:sz w:val="22"/>
          <w:szCs w:val="22"/>
        </w:rPr>
        <w:t xml:space="preserve">Sự kiện nghiệp vụ (số lượng, đối tác) thuộc module, giá trị tiền thuộc sổ cái. Không lưu hai bản của cùng một số tiền ở hai nơi.</w:t>
      </w:r>
    </w:p>
    <w:p>
      <w:pPr>
        <w:pStyle w:val="ListParagraph"/>
        <w:numPr>
          <w:ilvl w:val="0"/>
          <w:numId w:val="3"/>
        </w:numPr>
        <w:spacing w:after="80" w:line="290"/>
      </w:pPr>
      <w:r>
        <w:rPr>
          <w:rFonts w:ascii="Arial" w:cs="Arial" w:eastAsia="Arial" w:hAnsi="Arial"/>
          <w:b/>
          <w:bCs/>
          <w:sz w:val="22"/>
          <w:szCs w:val="22"/>
        </w:rPr>
        <w:t xml:space="preserve">Một sự kiện có thể sinh nhiều bút toán ở các thời điểm khác nhau </w:t>
      </w:r>
      <w:r>
        <w:rPr>
          <w:rFonts w:ascii="Arial" w:cs="Arial" w:eastAsia="Arial" w:hAnsi="Arial"/>
          <w:sz w:val="22"/>
          <w:szCs w:val="22"/>
        </w:rPr>
        <w:t xml:space="preserve">(nhận hàng chưa có hóa đơn, rồi hóa đơn về, rồi thanh toán). Quy tắc hạch toán nên theo trạng thái của chứng từ, không chỉ theo một lần ghi.</w:t>
      </w:r>
    </w:p>
    <w:p>
      <w:pPr>
        <w:pStyle w:val="ListParagraph"/>
        <w:numPr>
          <w:ilvl w:val="0"/>
          <w:numId w:val="3"/>
        </w:numPr>
        <w:spacing w:after="80" w:line="290"/>
      </w:pPr>
      <w:r>
        <w:rPr>
          <w:rFonts w:ascii="Arial" w:cs="Arial" w:eastAsia="Arial" w:hAnsi="Arial"/>
          <w:b/>
          <w:bCs/>
          <w:sz w:val="22"/>
          <w:szCs w:val="22"/>
        </w:rPr>
        <w:t xml:space="preserve">Không phải sự kiện nào cũng có tác động tài chính. </w:t>
      </w:r>
      <w:r>
        <w:rPr>
          <w:rFonts w:ascii="Arial" w:cs="Arial" w:eastAsia="Arial" w:hAnsi="Arial"/>
          <w:sz w:val="22"/>
          <w:szCs w:val="22"/>
        </w:rPr>
        <w:t xml:space="preserve">Báo giá, đơn đặt hàng chưa tới sổ cái. Chỉ những gì có hiệu lực kế toán mới gửi sự kiện.</w:t>
      </w:r>
    </w:p>
    <w:p>
      <w:pPr>
        <w:pStyle w:val="ListParagraph"/>
        <w:numPr>
          <w:ilvl w:val="0"/>
          <w:numId w:val="3"/>
        </w:numPr>
        <w:spacing w:after="80" w:line="290"/>
      </w:pPr>
      <w:r>
        <w:rPr>
          <w:rFonts w:ascii="Arial" w:cs="Arial" w:eastAsia="Arial" w:hAnsi="Arial"/>
          <w:b/>
          <w:bCs/>
          <w:sz w:val="22"/>
          <w:szCs w:val="22"/>
        </w:rPr>
        <w:t xml:space="preserve">Sửa sai bằng bút toán đảo, </w:t>
      </w:r>
      <w:r>
        <w:rPr>
          <w:rFonts w:ascii="Arial" w:cs="Arial" w:eastAsia="Arial" w:hAnsi="Arial"/>
          <w:sz w:val="22"/>
          <w:szCs w:val="22"/>
        </w:rPr>
        <w:t xml:space="preserve">gắn với vòng đời chứng từ (hủy, điều chỉnh).</w:t>
      </w:r>
    </w:p>
    <w:p>
      <w:pPr>
        <w:pStyle w:val="Heading1"/>
        <w:spacing w:after="140" w:before="320"/>
      </w:pPr>
      <w:r>
        <w:rPr>
          <w:rFonts w:ascii="Arial" w:cs="Arial" w:eastAsia="Arial" w:hAnsi="Arial"/>
          <w:b/>
          <w:bCs/>
          <w:color w:val="1F3864"/>
          <w:sz w:val="28"/>
          <w:szCs w:val="28"/>
        </w:rPr>
        <w:t xml:space="preserve">4. Có sản phẩm thực tế nào làm kiểu này không</w:t>
      </w:r>
    </w:p>
    <w:p>
      <w:pPr>
        <w:spacing w:after="120" w:line="300"/>
      </w:pPr>
      <w:r>
        <w:rPr>
          <w:rFonts w:ascii="Arial" w:cs="Arial" w:eastAsia="Arial" w:hAnsi="Arial"/>
          <w:sz w:val="22"/>
          <w:szCs w:val="22"/>
        </w:rPr>
        <w:t xml:space="preserve">Có, nên thiết kế này không hề lạ. Ví dụ Odoo gộp hóa đơn và bút toán thành cùng một đối tượng, nên không có lớp sao chép riêng. Các ERP lớn có lớp "kế toán phụ trợ" hạch toán theo quy tắc cấu hình. Đây là hiểu biết chung; nếu muốn học cấu trúc thật thì nên đọc tài liệu của từng sản phẩm.</w:t>
      </w:r>
    </w:p>
    <w:p>
      <w:pPr>
        <w:pStyle w:val="Heading1"/>
        <w:spacing w:after="140" w:before="320"/>
      </w:pPr>
      <w:r>
        <w:rPr>
          <w:rFonts w:ascii="Arial" w:cs="Arial" w:eastAsia="Arial" w:hAnsi="Arial"/>
          <w:b/>
          <w:bCs/>
          <w:color w:val="1F3864"/>
          <w:sz w:val="28"/>
          <w:szCs w:val="28"/>
        </w:rPr>
        <w:t xml:space="preserve">5. Khi nào ETL vẫn hợp lý</w:t>
      </w:r>
    </w:p>
    <w:p>
      <w:pPr>
        <w:pStyle w:val="ListParagraph"/>
        <w:numPr>
          <w:ilvl w:val="0"/>
          <w:numId w:val="3"/>
        </w:numPr>
        <w:spacing w:after="80" w:line="290"/>
      </w:pPr>
      <w:r>
        <w:rPr>
          <w:rFonts w:ascii="Arial" w:cs="Arial" w:eastAsia="Arial" w:hAnsi="Arial"/>
          <w:sz w:val="22"/>
          <w:szCs w:val="22"/>
        </w:rPr>
        <w:t xml:space="preserve">Kết nối hệ thống bên ngoài (ngân hàng, hóa đơn điện tử, hệ thống cũ).</w:t>
      </w:r>
    </w:p>
    <w:p>
      <w:pPr>
        <w:pStyle w:val="ListParagraph"/>
        <w:numPr>
          <w:ilvl w:val="0"/>
          <w:numId w:val="3"/>
        </w:numPr>
        <w:spacing w:after="80" w:line="290"/>
      </w:pPr>
      <w:r>
        <w:rPr>
          <w:rFonts w:ascii="Arial" w:cs="Arial" w:eastAsia="Arial" w:hAnsi="Arial"/>
          <w:sz w:val="22"/>
          <w:szCs w:val="22"/>
        </w:rPr>
        <w:t xml:space="preserve">Báo cáo phân tích nặng cần kho dữ liệu riêng để không làm chậm hệ thống giao dịch.</w:t>
      </w:r>
    </w:p>
    <w:p>
      <w:pPr>
        <w:pStyle w:val="ListParagraph"/>
        <w:numPr>
          <w:ilvl w:val="0"/>
          <w:numId w:val="3"/>
        </w:numPr>
        <w:spacing w:after="80" w:line="290"/>
      </w:pPr>
      <w:r>
        <w:rPr>
          <w:rFonts w:ascii="Arial" w:cs="Arial" w:eastAsia="Arial" w:hAnsi="Arial"/>
          <w:sz w:val="22"/>
          <w:szCs w:val="22"/>
        </w:rPr>
        <w:t xml:space="preserve">Chuyển đổi dữ liệu lịch sử.</w:t>
      </w:r>
    </w:p>
    <w:p>
      <w:pPr>
        <w:spacing w:after="120" w:before="80" w:line="300"/>
      </w:pPr>
      <w:r>
        <w:rPr>
          <w:rFonts w:ascii="Arial" w:cs="Arial" w:eastAsia="Arial" w:hAnsi="Arial"/>
          <w:sz w:val="22"/>
          <w:szCs w:val="22"/>
        </w:rPr>
        <w:t xml:space="preserve">Đó là ETL "ngoài rìa", không nằm trên đường chính của giao dịch.</w:t>
      </w:r>
    </w:p>
    <w:p>
      <w:pPr>
        <w:pStyle w:val="Heading1"/>
        <w:spacing w:after="140" w:before="320"/>
      </w:pPr>
      <w:r>
        <w:rPr>
          <w:rFonts w:ascii="Arial" w:cs="Arial" w:eastAsia="Arial" w:hAnsi="Arial"/>
          <w:b/>
          <w:bCs/>
          <w:color w:val="1F3864"/>
          <w:sz w:val="28"/>
          <w:szCs w:val="28"/>
        </w:rPr>
        <w:t xml:space="preserve">6. Luật cho đội lập trình</w:t>
      </w:r>
    </w:p>
    <w:p>
      <w:pPr>
        <w:pStyle w:val="ListParagraph"/>
        <w:numPr>
          <w:ilvl w:val="0"/>
          <w:numId w:val="4"/>
        </w:numPr>
        <w:spacing w:after="80" w:line="290"/>
      </w:pPr>
      <w:r>
        <w:rPr>
          <w:rFonts w:ascii="Arial" w:cs="Arial" w:eastAsia="Arial" w:hAnsi="Arial"/>
          <w:sz w:val="22"/>
          <w:szCs w:val="22"/>
        </w:rPr>
        <w:t xml:space="preserve">Chỉ lõi kế toán được ghi sổ cái.</w:t>
      </w:r>
    </w:p>
    <w:p>
      <w:pPr>
        <w:pStyle w:val="ListParagraph"/>
        <w:numPr>
          <w:ilvl w:val="0"/>
          <w:numId w:val="4"/>
        </w:numPr>
        <w:spacing w:after="80" w:line="290"/>
      </w:pPr>
      <w:r>
        <w:rPr>
          <w:rFonts w:ascii="Arial" w:cs="Arial" w:eastAsia="Arial" w:hAnsi="Arial"/>
          <w:sz w:val="22"/>
          <w:szCs w:val="22"/>
        </w:rPr>
        <w:t xml:space="preserve">Module nghiệp vụ chỉ gửi sự kiện kế toán theo khuôn chuẩn, không tự định khoản.</w:t>
      </w:r>
    </w:p>
    <w:p>
      <w:pPr>
        <w:pStyle w:val="ListParagraph"/>
        <w:numPr>
          <w:ilvl w:val="0"/>
          <w:numId w:val="4"/>
        </w:numPr>
        <w:spacing w:after="80" w:line="290"/>
      </w:pPr>
      <w:r>
        <w:rPr>
          <w:rFonts w:ascii="Arial" w:cs="Arial" w:eastAsia="Arial" w:hAnsi="Arial"/>
          <w:sz w:val="22"/>
          <w:szCs w:val="22"/>
        </w:rPr>
        <w:t xml:space="preserve">Quy tắc định khoản nằm ở một nơi, kế toán sở hữu, cấu hình được.</w:t>
      </w:r>
    </w:p>
    <w:p>
      <w:pPr>
        <w:pStyle w:val="ListParagraph"/>
        <w:numPr>
          <w:ilvl w:val="0"/>
          <w:numId w:val="4"/>
        </w:numPr>
        <w:spacing w:after="80" w:line="290"/>
      </w:pPr>
      <w:r>
        <w:rPr>
          <w:rFonts w:ascii="Arial" w:cs="Arial" w:eastAsia="Arial" w:hAnsi="Arial"/>
          <w:sz w:val="22"/>
          <w:szCs w:val="22"/>
        </w:rPr>
        <w:t xml:space="preserve">Chứng từ và bút toán cùng thành công hoặc cùng thất bại trong một giao dịch.</w:t>
      </w:r>
    </w:p>
    <w:p>
      <w:pPr>
        <w:pStyle w:val="ListParagraph"/>
        <w:numPr>
          <w:ilvl w:val="0"/>
          <w:numId w:val="4"/>
        </w:numPr>
        <w:spacing w:after="80" w:line="290"/>
      </w:pPr>
      <w:r>
        <w:rPr>
          <w:rFonts w:ascii="Arial" w:cs="Arial" w:eastAsia="Arial" w:hAnsi="Arial"/>
          <w:sz w:val="22"/>
          <w:szCs w:val="22"/>
        </w:rPr>
        <w:t xml:space="preserve">Mọi dòng bút toán phải mang đủ chiều phân tích theo danh mục chung.</w:t>
      </w:r>
    </w:p>
    <w:p>
      <w:pPr>
        <w:pStyle w:val="Heading1"/>
        <w:spacing w:after="140" w:before="320"/>
      </w:pPr>
      <w:r>
        <w:rPr>
          <w:rFonts w:ascii="Arial" w:cs="Arial" w:eastAsia="Arial" w:hAnsi="Arial"/>
          <w:b/>
          <w:bCs/>
          <w:color w:val="1F3864"/>
          <w:sz w:val="28"/>
          <w:szCs w:val="28"/>
        </w:rPr>
        <w:t xml:space="preserve">7. Câu hỏi còn mở</w:t>
      </w:r>
    </w:p>
    <w:p>
      <w:pPr>
        <w:spacing w:after="120" w:line="300"/>
      </w:pPr>
      <w:r>
        <w:rPr>
          <w:rFonts w:ascii="Arial" w:cs="Arial" w:eastAsia="Arial" w:hAnsi="Arial"/>
          <w:sz w:val="22"/>
          <w:szCs w:val="22"/>
        </w:rPr>
        <w:t xml:space="preserve">Các module của ERP sẽ do cùng một đội xây và dùng chung một cơ sở dữ liệu, hay một số module có thể là hệ thống riêng? Câu trả lời quyết định bạn có thể giữ "một giao dịch" hay phải dùng cơ chế sự kiện bất đồng bộ.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Khoác áo ERP lên thiết kế Accounting-first</dc:title>
  <dc:creator>Claude</dc:creator>
  <cp:lastModifiedBy>Un-named</cp:lastModifiedBy>
  <cp:revision>1</cp:revision>
  <dcterms:created xsi:type="dcterms:W3CDTF">2026-10-06T06:28:35.313Z</dcterms:created>
  <dcterms:modified xsi:type="dcterms:W3CDTF">2026-10-06T06:28:35.313Z</dcterms:modified>
</cp:coreProperties>
</file>

<file path=docProps/custom.xml><?xml version="1.0" encoding="utf-8"?>
<Properties xmlns="http://schemas.openxmlformats.org/officeDocument/2006/custom-properties" xmlns:vt="http://schemas.openxmlformats.org/officeDocument/2006/docPropsVTypes"/>
</file>