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7 tháng 1 năm 2019</w:t>
      </w:r>
    </w:p>
    <w:p>
      <w:pPr>
        <w:jc w:val="center"/>
      </w:pPr>
      <w:r>
        <w:rPr>
          <w:b/>
        </w:rPr>
        <w:t>THỐNG KÊ CHẤM THI KẾT THÚC HỌC PHẦN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06-01-2019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