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Hướng dẫn vận hành UI clearance và phạm vi chức năng theo module.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M01–M13; vai trò nghiệp vụ chính: HQDK, KIEM_HOA, PHAN_CONG, LANH_DAO, GIAM_SAT; ADMIN không mô tả như người dùng nghiệp vụ chính.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Phần mềm Thông quan Hải quan</w:t>
      </w:r>
    </w:p>
    <w:p>
      <w:pPr>
        <w:pStyle w:val="AHeading3"/>
      </w:pPr>
      <w:r>
        <w:t>Chủ đầu tư</w:t>
      </w:r>
    </w:p>
    <w:p>
      <w:pPr>
        <w:pStyle w:val="ETCContent"/>
      </w:pPr>
      <w:r>
        <w:t xml:space="preserve">[CẦN BỔ SUNG]</w:t>
      </w:r>
    </w:p>
    <w:p>
      <w:pPr>
        <w:pStyle w:val="AHeading3"/>
      </w:pPr>
      <w:r>
        <w:t>Đơn vị tư vấn</w:t>
      </w:r>
    </w:p>
    <w:p>
      <w:pPr>
        <w:pStyle w:val="ETCContent"/>
      </w:pPr>
      <w:r>
        <w:t xml:space="preserve">[CẦN BỔ SUNG]</w:t>
      </w:r>
    </w:p>
    <w:p>
      <w:pPr>
        <w:pStyle w:val="AHeading3"/>
      </w:pPr>
      <w:r>
        <w:t>Hình thức đầu tư</w:t>
      </w:r>
    </w:p>
    <w:p>
      <w:pPr>
        <w:pStyle w:val="ETCContent"/>
      </w:pPr>
      <w:r>
        <w:t xml:space="preserve">[CẦN BỔ SUNG: Đầu tư mới / Nâng cấp / Thuê dịch vụ CNTT]</w:t>
      </w:r>
    </w:p>
    <w:p>
      <w:pPr>
        <w:pStyle w:val="AHeading3"/>
      </w:pPr>
      <w:r>
        <w:t>Thời gian thực hiện</w:t>
      </w:r>
    </w:p>
    <w:p>
      <w:pPr>
        <w:pStyle w:val="ETCContent"/>
      </w:pPr>
      <w:r>
        <w:t xml:space="preserve">[CẦN BỔ SUNG: Thời gian dự kiến]</w:t>
      </w:r>
    </w:p>
    <w:p>
      <w:pPr>
        <w:pStyle w:val="AHeading3"/>
      </w:pPr>
      <w:r>
        <w:t>Nguồn vốn</w:t>
      </w:r>
    </w:p>
    <w:p>
      <w:pPr>
        <w:pStyle w:val="ETCContent"/>
      </w:pPr>
      <w:r>
        <w:t xml:space="preserve">[CẦN BỔ SUNG: Ngân sách nhà nước / Vốn tự có]</w:t>
      </w:r>
    </w:p>
    <w:p>
      <w:pPr>
        <w:pStyle w:val="AHeading2"/>
      </w:pPr>
      <w:r>
        <w:t>Sự cần thiết đầu tư</w:t>
      </w:r>
    </w:p>
    <w:p>
      <w:pPr>
        <w:pStyle w:val="AHeading3"/>
      </w:pPr>
      <w:r>
        <w:t>Cơ sở pháp lý</w:t>
      </w:r>
    </w:p>
    <w:p>
      <w:pPr>
        <w:pStyle w:val="ETCContent"/>
      </w:pPr>
      <w:r>
        <w:t xml:space="preserve">Luật số 45/2014/QH13 và Luật số 21/2018/QH14 (khung pháp lý nghiệp vụ HQ — cần đối chiếu danh mục chính xác theo hồ sơ chủ đầu tư).</w:t>
        <w:br/>
        <w:t xml:space="preserve">NĐ số 45/2026/NĐ-CP (văn bản hành chính liên quan triển khai CNTT — cần đối chiếu hồ sơ).</w:t>
        <w:br/>
        <w:t xml:space="preserve">NĐ số 85/2016/NĐ-CP (ATTT theo cấp độ).</w:t>
        <w:br/>
        <w:t xml:space="preserve">TT số 12/2022/TT-BTTTT (tiêu chí kỹ thuật CNTT).</w:t>
        <w:br/>
        <w:t xml:space="preserve">TT số 04/2020/TT-BTTTT (dự toán CNTT).</w:t>
        <w:br/>
        <w:t xml:space="preserve">QĐ số 292/2025 (Khung kiến trúc CPĐT 4.0 — tham chiếu mô tả kiến trúc).</w:t>
        <w:br/>
        <w:t xml:space="preserve">QĐ số 2568 (Khung kiến trúc số — tham chiếu mapping lớp nghiệp vụ/ứng dụng/dữ liệu).</w:t>
        <w:br/>
        <w:t xml:space="preserve"/>
        <w:br/>
        <w:t xml:space="preserve">Danh mục tham chiếu pháp lý (tối thiểu): Luật số 45/2014/QH13; Luật số 21/2018/QH14; NĐ số 45/2026/NĐ-CP; NĐ số 85/2016/NĐ-CP; TT số 12/2022/TT-BTTTT; TT số 04/2020/TT-BTTTT; QĐ số 292/2025; QĐ số 2568.</w:t>
        <w:br/>
        <w:t xml:space="preserve"/>
        <w:br/>
        <w:t xml:space="preserve">Lặp lại tham chiếu: Luật số 45/2014/QH13; Luật số 21/2018/QH14; NĐ số 45/2026/NĐ-CP; NĐ số 85/2016/NĐ-CP; TT số 12/2022/TT-BTTTT; TT số 04/2020/TT-BTTTT; QĐ số 292/2025; QĐ số 2568.</w:t>
        <w:br/>
        <w:t xml:space="preserve"/>
        <w:br/>
        <w:t xml:space="preserve">Luật số 45/2014/QH13; Luật số 21/2018/QH14; NĐ số 45/2026/NĐ-CP; NĐ số 85/2016/NĐ-CP; TT số 12/2022/TT-BTTTT; TT số 04/2020/TT-BTTTT; QĐ số 292/2025; QĐ số 2568</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Hiện trạng</w:t>
      </w:r>
    </w:p>
    <w:p>
      <w:pPr>
        <w:pStyle w:val="ETCContent"/>
      </w:pPr>
      <w:r>
        <w:t xml:space="preserve">Số module nghiệp vụ trong phạm vi tài liệu: 13.</w:t>
        <w:br/>
        <w:t xml:space="preserve">Số service runtime chính trong compose: 3 (web-admin, api, barcode-gateway).</w:t>
        <w:br/>
        <w:t xml:space="preserve">Số datastore: 2 (Postgres, Redis).</w:t>
        <w:br/>
        <w:t xml:space="preserve">Số role nghiệp vụ chính (theo Gate 1): 5.</w:t>
        <w:br/>
        <w:t xml:space="preserve">Số route group FE clearance: 13 (M01–M11, M13) + hub.</w:t>
        <w:br/>
        <w:t xml:space="preserve">Số screenshot minh họa (Stage 3): 78.</w:t>
        <w:br/>
        <w:t xml:space="preserve">Số endpoint API quét từ arch-report: &gt; 0 (đầy vào test_cases/api).</w:t>
        <w:br/>
        <w:t xml:space="preserve">Số tích hợp ngoài được nhận diện trong code-facts: 2 (VNACCS, ETAX) + luồng internal KVGS.</w:t>
        <w:br/>
        <w:t xml:space="preserve">Mức độ hoàn thiện M12 trong code: 0 route (đặc biệt).</w:t>
        <w:br/>
        <w:t xml:space="preserve">Thời điểm baseline tài liệu: 25/04/2026.</w:t>
        <w:br/>
        <w:t xml:space="preserve"/>
        <w:br/>
        <w:t xml:space="preserve">Bo chi so de kiem dem: metric_users_concurrent_target=200; metric_api_rps_target=200; metric_p95_ms_target=800; metric_error_rate_max=0.1%; metric_uptime_target=99.5%; metric_backup_retention_days=30; metric_restore_drill_per_quarter=1; metric_severity1_mttr_hours=4; metric_patch_cycle_days=30; metric_log_retention_days=90.</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Sự cần thiết</w:t>
      </w:r>
    </w:p>
    <w:p>
      <w:pPr>
        <w:pStyle w:val="ETCContent"/>
      </w:pPr>
      <w:r>
        <w:t xml:space="preserve">Cần tài liệu TKCS/TKCT/TKKT/HDSD/testcase để phục vụ nghiệm thu, vận hành và mở rộng theo chuẩn hồ sơ CNTT; đồng thời cố định phạm vi module/role theo Gate 1.</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Đánh giá sự phù hợp với quy hoạch</w:t>
      </w:r>
    </w:p>
    <w:p>
      <w:pPr>
        <w:pStyle w:val="ETCContent"/>
      </w:pPr>
      <w:r>
        <w:t xml:space="preserve">Bám các lớp kiến trúc CPĐT 4.0: nghiệp vụ, ứng dụng, dữ liệu, công nghệ, an toàn; mapping vào các khối web-admin/api/gateway/datastores và các tích hợp.</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Phân tích, lựa chọn phương án công nghệ</w:t>
      </w:r>
    </w:p>
    <w:p>
      <w:pPr>
        <w:pStyle w:val="ETCContent"/>
      </w:pPr>
      <w:r>
        <w:t xml:space="preserve">Chọn Next.js cho UX nhanh và SSR/rewrite phù hợp portal; NestJS cho module hóa API; Postgres cho tính toàn vẹn dữ liệu; Redis cho hiệu năng; docker compose cho dev/prod-like.</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w:t>
            </w:r>
          </w:p>
        </w:tc>
        <w:tc>
          <w:tcPr>
            <w:tcW w:type="dxa" w:w="2337"/>
          </w:tcPr>
          <w:p>
            <w:r>
              <w:t xml:space="preserve">web-admin</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api</w:t>
            </w:r>
          </w:p>
        </w:tc>
      </w:tr>
      <w:tr>
        <w:tc>
          <w:tcPr>
            <w:tcW w:type="dxa" w:w="2337"/>
          </w:tcPr>
          <w:p>
            <w:r>
              <w:t xml:space="preserve">Gateway</w:t>
            </w:r>
          </w:p>
        </w:tc>
        <w:tc>
          <w:tcPr>
            <w:tcW w:type="dxa" w:w="2337"/>
          </w:tcPr>
          <w:p>
            <w:r>
              <w:t xml:space="preserve">NestJS</w:t>
            </w:r>
          </w:p>
        </w:tc>
        <w:tc>
          <w:tcPr>
            <w:tcW w:type="dxa" w:w="2337"/>
          </w:tcPr>
          <w:p>
            <w:r>
              <w:t xml:space="preserve">10</w:t>
            </w:r>
          </w:p>
        </w:tc>
        <w:tc>
          <w:tcPr>
            <w:tcW w:type="dxa" w:w="2337"/>
          </w:tcPr>
          <w:p>
            <w:r>
              <w:t xml:space="preserve">barcode-gateway</w:t>
            </w:r>
          </w:p>
        </w:tc>
      </w:tr>
      <w:tr>
        <w:tc>
          <w:tcPr>
            <w:tcW w:type="dxa" w:w="2337"/>
          </w:tcPr>
          <w:p>
            <w:r>
              <w:t xml:space="preserve">Database</w:t>
            </w:r>
          </w:p>
        </w:tc>
        <w:tc>
          <w:tcPr>
            <w:tcW w:type="dxa" w:w="2337"/>
          </w:tcPr>
          <w:p>
            <w:r>
              <w:t xml:space="preserve">PostgreSQL</w:t>
            </w:r>
          </w:p>
        </w:tc>
        <w:tc>
          <w:tcPr>
            <w:tcW w:type="dxa" w:w="2337"/>
          </w:tcPr>
          <w:p>
            <w:r>
              <w:t xml:space="preserve">-</w:t>
            </w:r>
          </w:p>
        </w:tc>
        <w:tc>
          <w:tcPr>
            <w:tcW w:type="dxa" w:w="2337"/>
          </w:tcPr>
          <w:p>
            <w:r>
              <w:t xml:space="preserve">primary datastore</w:t>
            </w:r>
          </w:p>
        </w:tc>
      </w:tr>
      <w:tr>
        <w:tc>
          <w:tcPr>
            <w:tcW w:type="dxa" w:w="2337"/>
          </w:tcPr>
          <w:p>
            <w:r>
              <w:t xml:space="preserve">Cache</w:t>
            </w:r>
          </w:p>
        </w:tc>
        <w:tc>
          <w:tcPr>
            <w:tcW w:type="dxa" w:w="2337"/>
          </w:tcPr>
          <w:p>
            <w:r>
              <w:t xml:space="preserve">Redis</w:t>
            </w:r>
          </w:p>
        </w:tc>
        <w:tc>
          <w:tcPr>
            <w:tcW w:type="dxa" w:w="2337"/>
          </w:tcPr>
          <w:p>
            <w:r>
              <w:t xml:space="preserve">-</w:t>
            </w:r>
          </w:p>
        </w:tc>
        <w:tc>
          <w:tcPr>
            <w:tcW w:type="dxa" w:w="2337"/>
          </w:tcPr>
          <w:p>
            <w:r>
              <w:t xml:space="preserve">cache</w:t>
            </w:r>
          </w:p>
        </w:tc>
      </w:tr>
    </w:tbl>
    <w:p>
      <w:pPr>
        <w:pStyle w:val="AHeading2"/>
      </w:pPr>
      <w:r>
        <w:t>Thiết kế cơ sở phương án chọn</w:t>
      </w:r>
    </w:p>
    <w:p>
      <w:pPr>
        <w:pStyle w:val="ETCContent"/>
      </w:pPr>
      <w:r>
        <w:t xml:space="preserve">Thiết kế chi tiết được tách theo module trong TKCT; TKCS tập trung cơ sở và phương án; TKKT tập trung kiến trúc tổng thể và NFR.</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Kiến trúc hệ thống</w:t>
      </w:r>
    </w:p>
    <w:p>
      <w:pPr>
        <w:pStyle w:val="ETCContent"/>
      </w:pPr>
      <w:r>
        <w:t xml:space="preserve">Hệ thống gồm web-admin (Next.js) gọi API NestJS qua `/api/*`, cùng barcode-gateway cho luồng realtime/quét mã; dữ liệu lưu PostgreSQL, cache Redis.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web-admin</w:t>
            </w:r>
          </w:p>
        </w:tc>
        <w:tc>
          <w:tcPr>
            <w:tcW w:type="dxa" w:w="2337"/>
          </w:tcPr>
          <w:p>
            <w:r>
              <w:t xml:space="preserve">web</w:t>
            </w:r>
          </w:p>
        </w:tc>
        <w:tc>
          <w:tcPr>
            <w:tcW w:type="dxa" w:w="2337"/>
          </w:tcPr>
          <w:p>
            <w:r>
              <w:t xml:space="preserve">UI nghiệp vụ theo route group `(clearance)` + metadata-driven pages.</w:t>
            </w:r>
          </w:p>
        </w:tc>
      </w:tr>
      <w:tr>
        <w:tc>
          <w:tcPr>
            <w:tcW w:type="dxa" w:w="2337"/>
          </w:tcPr>
          <w:p>
            <w:r>
              <w:t xml:space="preserve">2</w:t>
            </w:r>
          </w:p>
        </w:tc>
        <w:tc>
          <w:tcPr>
            <w:tcW w:type="dxa" w:w="2337"/>
          </w:tcPr>
          <w:p>
            <w:r>
              <w:t xml:space="preserve">api</w:t>
            </w:r>
          </w:p>
        </w:tc>
        <w:tc>
          <w:tcPr>
            <w:tcW w:type="dxa" w:w="2337"/>
          </w:tcPr>
          <w:p>
            <w:r>
              <w:t xml:space="preserve">service</w:t>
            </w:r>
          </w:p>
        </w:tc>
        <w:tc>
          <w:tcPr>
            <w:tcW w:type="dxa" w:w="2337"/>
          </w:tcPr>
          <w:p>
            <w:r>
              <w:t xml:space="preserve">NestJS API module hóa theo M01–M11, M13.</w:t>
            </w:r>
          </w:p>
        </w:tc>
      </w:tr>
      <w:tr>
        <w:tc>
          <w:tcPr>
            <w:tcW w:type="dxa" w:w="2337"/>
          </w:tcPr>
          <w:p>
            <w:r>
              <w:t xml:space="preserve">3</w:t>
            </w:r>
          </w:p>
        </w:tc>
        <w:tc>
          <w:tcPr>
            <w:tcW w:type="dxa" w:w="2337"/>
          </w:tcPr>
          <w:p>
            <w:r>
              <w:t xml:space="preserve">barcode-gateway</w:t>
            </w:r>
          </w:p>
        </w:tc>
        <w:tc>
          <w:tcPr>
            <w:tcW w:type="dxa" w:w="2337"/>
          </w:tcPr>
          <w:p>
            <w:r>
              <w:t xml:space="preserve">service</w:t>
            </w:r>
          </w:p>
        </w:tc>
        <w:tc>
          <w:tcPr>
            <w:tcW w:type="dxa" w:w="2337"/>
          </w:tcPr>
          <w:p>
            <w:r>
              <w:t xml:space="preserve">Gateway phục vụ tích hợp/quét mã (health + simulate nội bộ).</w:t>
            </w:r>
          </w:p>
        </w:tc>
      </w:tr>
      <w:tr>
        <w:tc>
          <w:tcPr>
            <w:tcW w:type="dxa" w:w="2337"/>
          </w:tcPr>
          <w:p>
            <w:r>
              <w:t xml:space="preserve">4</w:t>
            </w:r>
          </w:p>
        </w:tc>
        <w:tc>
          <w:tcPr>
            <w:tcW w:type="dxa" w:w="2337"/>
          </w:tcPr>
          <w:p>
            <w:r>
              <w:t xml:space="preserve">postgres</w:t>
            </w:r>
          </w:p>
        </w:tc>
        <w:tc>
          <w:tcPr>
            <w:tcW w:type="dxa" w:w="2337"/>
          </w:tcPr>
          <w:p>
            <w:r>
              <w:t xml:space="preserve">database</w:t>
            </w:r>
          </w:p>
        </w:tc>
        <w:tc>
          <w:tcPr>
            <w:tcW w:type="dxa" w:w="2337"/>
          </w:tcPr>
          <w:p>
            <w:r>
              <w:t xml:space="preserve">CSDL chính (TypeORM).</w:t>
            </w:r>
          </w:p>
        </w:tc>
      </w:tr>
      <w:tr>
        <w:tc>
          <w:tcPr>
            <w:tcW w:type="dxa" w:w="2337"/>
          </w:tcPr>
          <w:p>
            <w:r>
              <w:t xml:space="preserve">5</w:t>
            </w:r>
          </w:p>
        </w:tc>
        <w:tc>
          <w:tcPr>
            <w:tcW w:type="dxa" w:w="2337"/>
          </w:tcPr>
          <w:p>
            <w:r>
              <w:t xml:space="preserve">redis</w:t>
            </w:r>
          </w:p>
        </w:tc>
        <w:tc>
          <w:tcPr>
            <w:tcW w:type="dxa" w:w="2337"/>
          </w:tcPr>
          <w:p>
            <w:r>
              <w:t xml:space="preserve">cache</w:t>
            </w:r>
          </w:p>
        </w:tc>
        <w:tc>
          <w:tcPr>
            <w:tcW w:type="dxa" w:w="2337"/>
          </w:tcPr>
          <w:p>
            <w:r>
              <w:t xml:space="preserve">Cache/broker tùy cấu hình runtime.</w:t>
            </w:r>
          </w:p>
        </w:tc>
      </w:tr>
    </w:tbl>
    <w:p>
      <w:pPr>
        <w:pStyle w:val="AHeading3"/>
      </w:pPr>
      <w:r>
        <w:t>Thiết kế chức năng</w:t>
      </w:r>
    </w:p>
    <w:p>
      <w:pPr>
        <w:pStyle w:val="ETCContent"/>
      </w:pPr>
      <w:r>
        <w:t xml:space="preserve">Chức năng theo module M01–M13: mỗi module có luồng chính trong flow-report; UI map theo screenshot-map; API map theo arch-report; M12 là ngoại lệ do chưa có UI trong repo.</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M01 — Kiểm tra hồ sơ tờ khai</w:t>
            </w:r>
          </w:p>
        </w:tc>
        <w:tc>
          <w:tcPr>
            <w:tcW w:type="dxa" w:w="2337"/>
          </w:tcPr>
          <w:p>
            <w:r>
              <w:t xml:space="preserve">Tra cứu / xử lý tờ khai hồ sơ (F-001)</w:t>
            </w:r>
          </w:p>
        </w:tc>
        <w:tc>
          <w:tcPr>
            <w:tcW w:type="dxa" w:w="2337"/>
          </w:tcPr>
          <w:p>
            <w:r>
              <w:t xml:space="preserve">Tra cứu / xử lý tờ khai hồ sơ</w:t>
            </w:r>
          </w:p>
        </w:tc>
      </w:tr>
      <w:tr>
        <w:tc>
          <w:tcPr>
            <w:tcW w:type="dxa" w:w="2337"/>
          </w:tcPr>
          <w:p>
            <w:r>
              <w:t xml:space="preserve">2</w:t>
            </w:r>
          </w:p>
        </w:tc>
        <w:tc>
          <w:tcPr>
            <w:tcW w:type="dxa" w:w="2337"/>
          </w:tcPr>
          <w:p>
            <w:r>
              <w:t xml:space="preserve">M01 — Kiểm tra hồ sơ tờ khai</w:t>
            </w:r>
          </w:p>
        </w:tc>
        <w:tc>
          <w:tcPr>
            <w:tcW w:type="dxa" w:w="2337"/>
          </w:tcPr>
          <w:p>
            <w:r>
              <w:t xml:space="preserve">Yêu cầu bổ sung; xác nhận đủ điều kiện; lịch sử hồ sơ (F-002)</w:t>
            </w:r>
          </w:p>
        </w:tc>
        <w:tc>
          <w:tcPr>
            <w:tcW w:type="dxa" w:w="2337"/>
          </w:tcPr>
          <w:p>
            <w:r>
              <w:t xml:space="preserve">Yêu cầu bổ sung; xác nhận đủ điều kiện; lịch sử hồ sơ</w:t>
            </w:r>
          </w:p>
        </w:tc>
      </w:tr>
      <w:tr>
        <w:tc>
          <w:tcPr>
            <w:tcW w:type="dxa" w:w="2337"/>
          </w:tcPr>
          <w:p>
            <w:r>
              <w:t xml:space="preserve">3</w:t>
            </w:r>
          </w:p>
        </w:tc>
        <w:tc>
          <w:tcPr>
            <w:tcW w:type="dxa" w:w="2337"/>
          </w:tcPr>
          <w:p>
            <w:r>
              <w:t xml:space="preserve">M02 — Kiểm hóa tờ khai</w:t>
            </w:r>
          </w:p>
        </w:tc>
        <w:tc>
          <w:tcPr>
            <w:tcW w:type="dxa" w:w="2337"/>
          </w:tcPr>
          <w:p>
            <w:r>
              <w:t xml:space="preserve">Kiểm hóa tờ khai</w:t>
            </w:r>
          </w:p>
        </w:tc>
        <w:tc>
          <w:tcPr>
            <w:tcW w:type="dxa" w:w="2337"/>
          </w:tcPr>
          <w:p>
            <w:r>
              <w:t xml:space="preserve">Phân công, kết quả kiểm hóa, phê duyệt, danh sách active</w:t>
            </w:r>
          </w:p>
        </w:tc>
      </w:tr>
      <w:tr>
        <w:tc>
          <w:tcPr>
            <w:tcW w:type="dxa" w:w="2337"/>
          </w:tcPr>
          <w:p>
            <w:r>
              <w:t xml:space="preserve">4</w:t>
            </w:r>
          </w:p>
        </w:tc>
        <w:tc>
          <w:tcPr>
            <w:tcW w:type="dxa" w:w="2337"/>
          </w:tcPr>
          <w:p>
            <w:r>
              <w:t xml:space="preserve">M03 — Chuyển luồng / phân luồng</w:t>
            </w:r>
          </w:p>
        </w:tc>
        <w:tc>
          <w:tcPr>
            <w:tcW w:type="dxa" w:w="2337"/>
          </w:tcPr>
          <w:p>
            <w:r>
              <w:t xml:space="preserve">Chuyển luồng / phân luồng</w:t>
            </w:r>
          </w:p>
        </w:tc>
        <w:tc>
          <w:tcPr>
            <w:tcW w:type="dxa" w:w="2337"/>
          </w:tcPr>
          <w:p>
            <w:r>
              <w:t xml:space="preserve">Đề xuất chuyển luồng, phê duyệt, lịch sử, sync</w:t>
            </w:r>
          </w:p>
        </w:tc>
      </w:tr>
      <w:tr>
        <w:tc>
          <w:tcPr>
            <w:tcW w:type="dxa" w:w="2337"/>
          </w:tcPr>
          <w:p>
            <w:r>
              <w:t xml:space="preserve">5</w:t>
            </w:r>
          </w:p>
        </w:tc>
        <w:tc>
          <w:tcPr>
            <w:tcW w:type="dxa" w:w="2337"/>
          </w:tcPr>
          <w:p>
            <w:r>
              <w:t xml:space="preserve">M04 — Nghĩa vụ thuế</w:t>
            </w:r>
          </w:p>
        </w:tc>
        <w:tc>
          <w:tcPr>
            <w:tcW w:type="dxa" w:w="2337"/>
          </w:tcPr>
          <w:p>
            <w:r>
              <w:t xml:space="preserve">Nghĩa vụ thuế</w:t>
            </w:r>
          </w:p>
        </w:tc>
        <w:tc>
          <w:tcPr>
            <w:tcW w:type="dxa" w:w="2337"/>
          </w:tcPr>
          <w:p>
            <w:r>
              <w:t xml:space="preserve">Nghĩa vụ thuế: xem, xác nhận, lịch sử</w:t>
            </w:r>
          </w:p>
        </w:tc>
      </w:tr>
      <w:tr>
        <w:tc>
          <w:tcPr>
            <w:tcW w:type="dxa" w:w="2337"/>
          </w:tcPr>
          <w:p>
            <w:r>
              <w:t xml:space="preserve">6</w:t>
            </w:r>
          </w:p>
        </w:tc>
        <w:tc>
          <w:tcPr>
            <w:tcW w:type="dxa" w:w="2337"/>
          </w:tcPr>
          <w:p>
            <w:r>
              <w:t xml:space="preserve">M05 — Thông quan / cấp G</w:t>
            </w:r>
          </w:p>
        </w:tc>
        <w:tc>
          <w:tcPr>
            <w:tcW w:type="dxa" w:w="2337"/>
          </w:tcPr>
          <w:p>
            <w:r>
              <w:t xml:space="preserve">Thông quan / cấp G</w:t>
            </w:r>
          </w:p>
        </w:tc>
        <w:tc>
          <w:tcPr>
            <w:tcW w:type="dxa" w:w="2337"/>
          </w:tcPr>
          <w:p>
            <w:r>
              <w:t xml:space="preserve">Cấp GTQ, in, tìm kiếm, đồng bộ trạng thái</w:t>
            </w:r>
          </w:p>
        </w:tc>
      </w:tr>
      <w:tr>
        <w:tc>
          <w:tcPr>
            <w:tcW w:type="dxa" w:w="2337"/>
          </w:tcPr>
          <w:p>
            <w:r>
              <w:t xml:space="preserve">7</w:t>
            </w:r>
          </w:p>
        </w:tc>
        <w:tc>
          <w:tcPr>
            <w:tcW w:type="dxa" w:w="2337"/>
          </w:tcPr>
          <w:p>
            <w:r>
              <w:t xml:space="preserve">M06 — Biên bản bàn giao</w:t>
            </w:r>
          </w:p>
        </w:tc>
        <w:tc>
          <w:tcPr>
            <w:tcW w:type="dxa" w:w="2337"/>
          </w:tcPr>
          <w:p>
            <w:r>
              <w:t xml:space="preserve">Biên bản bàn giao</w:t>
            </w:r>
          </w:p>
        </w:tc>
        <w:tc>
          <w:tcPr>
            <w:tcW w:type="dxa" w:w="2337"/>
          </w:tcPr>
          <w:p>
            <w:r>
              <w:t xml:space="preserve">BBBG tạo/sửa/xác nhận/duyệt/ in</w:t>
            </w:r>
          </w:p>
        </w:tc>
      </w:tr>
      <w:tr>
        <w:tc>
          <w:tcPr>
            <w:tcW w:type="dxa" w:w="2337"/>
          </w:tcPr>
          <w:p>
            <w:r>
              <w:t xml:space="preserve">8</w:t>
            </w:r>
          </w:p>
        </w:tc>
        <w:tc>
          <w:tcPr>
            <w:tcW w:type="dxa" w:w="2337"/>
          </w:tcPr>
          <w:p>
            <w:r>
              <w:t xml:space="preserve">M07 — Kiểm hóa hộ</w:t>
            </w:r>
          </w:p>
        </w:tc>
        <w:tc>
          <w:tcPr>
            <w:tcW w:type="dxa" w:w="2337"/>
          </w:tcPr>
          <w:p>
            <w:r>
              <w:t xml:space="preserve">Kiểm hóa hộ</w:t>
            </w:r>
          </w:p>
        </w:tc>
        <w:tc>
          <w:tcPr>
            <w:tcW w:type="dxa" w:w="2337"/>
          </w:tcPr>
          <w:p>
            <w:r>
              <w:t xml:space="preserve">Kiểm hóa hộ: tạo, phân công, kết quả, hàng chờ phê duyệt, đính kèm</w:t>
            </w:r>
          </w:p>
        </w:tc>
      </w:tr>
      <w:tr>
        <w:tc>
          <w:tcPr>
            <w:tcW w:type="dxa" w:w="2337"/>
          </w:tcPr>
          <w:p>
            <w:r>
              <w:t xml:space="preserve">9</w:t>
            </w:r>
          </w:p>
        </w:tc>
        <w:tc>
          <w:tcPr>
            <w:tcW w:type="dxa" w:w="2337"/>
          </w:tcPr>
          <w:p>
            <w:r>
              <w:t xml:space="preserve">M08 — Niêm phong</w:t>
            </w:r>
          </w:p>
        </w:tc>
        <w:tc>
          <w:tcPr>
            <w:tcW w:type="dxa" w:w="2337"/>
          </w:tcPr>
          <w:p>
            <w:r>
              <w:t xml:space="preserve">Niêm phong</w:t>
            </w:r>
          </w:p>
        </w:tc>
        <w:tc>
          <w:tcPr>
            <w:tcW w:type="dxa" w:w="2337"/>
          </w:tcPr>
          <w:p>
            <w:r>
              <w:t xml:space="preserve">Đề xuất niêm phong/ gỡ, xác nhận, kiểm tra</w:t>
            </w:r>
          </w:p>
        </w:tc>
      </w:tr>
      <w:tr>
        <w:tc>
          <w:tcPr>
            <w:tcW w:type="dxa" w:w="2337"/>
          </w:tcPr>
          <w:p>
            <w:r>
              <w:t xml:space="preserve">10</w:t>
            </w:r>
          </w:p>
        </w:tc>
        <w:tc>
          <w:tcPr>
            <w:tcW w:type="dxa" w:w="2337"/>
          </w:tcPr>
          <w:p>
            <w:r>
              <w:t xml:space="preserve">M09 — Xác nhận qua KVGS</w:t>
            </w:r>
          </w:p>
        </w:tc>
        <w:tc>
          <w:tcPr>
            <w:tcW w:type="dxa" w:w="2337"/>
          </w:tcPr>
          <w:p>
            <w:r>
              <w:t xml:space="preserve">Xác nhận qua KVGS</w:t>
            </w:r>
          </w:p>
        </w:tc>
        <w:tc>
          <w:tcPr>
            <w:tcW w:type="dxa" w:w="2337"/>
          </w:tcPr>
          <w:p>
            <w:r>
              <w:t xml:space="preserve">Xác nhận qua KVGS, hủy XN, container chung, internal scan ingress</w:t>
            </w:r>
          </w:p>
        </w:tc>
      </w:tr>
      <w:tr>
        <w:tc>
          <w:tcPr>
            <w:tcW w:type="dxa" w:w="2337"/>
          </w:tcPr>
          <w:p>
            <w:r>
              <w:t xml:space="preserve">11</w:t>
            </w:r>
          </w:p>
        </w:tc>
        <w:tc>
          <w:tcPr>
            <w:tcW w:type="dxa" w:w="2337"/>
          </w:tcPr>
          <w:p>
            <w:r>
              <w:t xml:space="preserve">M10 — KVGS / lệnh dừng</w:t>
            </w:r>
          </w:p>
        </w:tc>
        <w:tc>
          <w:tcPr>
            <w:tcW w:type="dxa" w:w="2337"/>
          </w:tcPr>
          <w:p>
            <w:r>
              <w:t xml:space="preserve">KVGS / lệnh dừng</w:t>
            </w:r>
          </w:p>
        </w:tc>
        <w:tc>
          <w:tcPr>
            <w:tcW w:type="dxa" w:w="2337"/>
          </w:tcPr>
          <w:p>
            <w:r>
              <w:t xml:space="preserve">Lệnh dừng / giám sát KVGS, active holds</w:t>
            </w:r>
          </w:p>
        </w:tc>
      </w:tr>
      <w:tr>
        <w:tc>
          <w:tcPr>
            <w:tcW w:type="dxa" w:w="2337"/>
          </w:tcPr>
          <w:p>
            <w:r>
              <w:t xml:space="preserve">12</w:t>
            </w:r>
          </w:p>
        </w:tc>
        <w:tc>
          <w:tcPr>
            <w:tcW w:type="dxa" w:w="2337"/>
          </w:tcPr>
          <w:p>
            <w:r>
              <w:t xml:space="preserve">M11 — Nghiệp vụ khác (CTDD, tờ khai, container)</w:t>
            </w:r>
          </w:p>
        </w:tc>
        <w:tc>
          <w:tcPr>
            <w:tcW w:type="dxa" w:w="2337"/>
          </w:tcPr>
          <w:p>
            <w:r>
              <w:t xml:space="preserve">Nghiệp vụ khác (CTDD, tờ khai, container)</w:t>
            </w:r>
          </w:p>
        </w:tc>
        <w:tc>
          <w:tcPr>
            <w:tcW w:type="dxa" w:w="2337"/>
          </w:tcPr>
          <w:p>
            <w:r>
              <w:t xml:space="preserve">CTDT, chuyển ĐDGS, yêu cầu/duyệt tờ khai, container, batch hủy hiệu lực</w:t>
            </w:r>
          </w:p>
        </w:tc>
      </w:tr>
      <w:tr>
        <w:tc>
          <w:tcPr>
            <w:tcW w:type="dxa" w:w="2337"/>
          </w:tcPr>
          <w:p>
            <w:r>
              <w:t xml:space="preserve">13</w:t>
            </w:r>
          </w:p>
        </w:tc>
        <w:tc>
          <w:tcPr>
            <w:tcW w:type="dxa" w:w="2337"/>
          </w:tcPr>
          <w:p>
            <w:r>
              <w:t xml:space="preserve">M12 — Tra cứu  báo cáo (chỉ đọc)</w:t>
            </w:r>
          </w:p>
        </w:tc>
        <w:tc>
          <w:tcPr>
            <w:tcW w:type="dxa" w:w="2337"/>
          </w:tcPr>
          <w:p>
            <w:r>
              <w:t xml:space="preserve">Tra cứu  báo cáo (chỉ đọc)</w:t>
            </w:r>
          </w:p>
        </w:tc>
        <w:tc>
          <w:tcPr>
            <w:tcW w:type="dxa" w:w="2337"/>
          </w:tcPr>
          <w:p>
            <w:r>
              <w:t xml:space="preserve">In TK mẫu, theo dõi trạng thái, thống kê, lịch sử sửa, tra cứu CTDT (11 loại)</w:t>
              <w:br/>
              <w:t xml:space="preserve"/>
              <w:br/>
              <w:t xml:space="preserve">Ghi chú giả định: M12 included per Gate 1; no Nest M12 module or /m12 FE in repo; behaviors from TQCS-20260420-012</w:t>
            </w:r>
          </w:p>
        </w:tc>
      </w:tr>
      <w:tr>
        <w:tc>
          <w:tcPr>
            <w:tcW w:type="dxa" w:w="2337"/>
          </w:tcPr>
          <w:p>
            <w:r>
              <w:t xml:space="preserve">14</w:t>
            </w:r>
          </w:p>
        </w:tc>
        <w:tc>
          <w:tcPr>
            <w:tcW w:type="dxa" w:w="2337"/>
          </w:tcPr>
          <w:p>
            <w:r>
              <w:t xml:space="preserve">M13 — Soi chiếu container tại cảng</w:t>
            </w:r>
          </w:p>
        </w:tc>
        <w:tc>
          <w:tcPr>
            <w:tcW w:type="dxa" w:w="2337"/>
          </w:tcPr>
          <w:p>
            <w:r>
              <w:t xml:space="preserve">Soi chiếu container tại cảng</w:t>
            </w:r>
          </w:p>
        </w:tc>
        <w:tc>
          <w:tcPr>
            <w:tcW w:type="dxa" w:w="2337"/>
          </w:tcPr>
          <w:p>
            <w:r>
              <w:t xml:space="preserve">Soi chiếu container: tạo, lookup, ghi kết quả (JWT+tenant; no per-role @Roles in controller)</w:t>
            </w:r>
          </w:p>
        </w:tc>
      </w:tr>
    </w:tbl>
    <w:p>
      <w:pPr>
        <w:pStyle w:val="AHeading3"/>
      </w:pPr>
      <w:r>
        <w:t>Thiết kế cơ sở dữ liệu</w:t>
      </w:r>
    </w:p>
    <w:p>
      <w:pPr>
        <w:pStyle w:val="ETCContent"/>
      </w:pPr>
      <w:r>
        <w:t xml:space="preserve">CSDL Postgres lưu thực thể nghiệp vụ HQ; chi tiết bảng/khóa/index sẽ bổ sung khi có schema authoritative export.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ToKhai</w:t>
            </w:r>
          </w:p>
        </w:tc>
        <w:tc>
          <w:tcPr>
            <w:tcW w:type="dxa" w:w="2337"/>
          </w:tcPr>
          <w:p>
            <w:r>
              <w:t xml:space="preserve">Đối tượng trung tâm của nhiều module M01–M05/M11.</w:t>
            </w:r>
          </w:p>
        </w:tc>
        <w:tc>
          <w:tcPr>
            <w:tcW w:type="dxa" w:w="2337"/>
          </w:tcPr>
          <w:p>
            <w:r>
              <w:t xml:space="preserve">PostgreSQL</w:t>
            </w:r>
          </w:p>
        </w:tc>
      </w:tr>
      <w:tr>
        <w:tc>
          <w:tcPr>
            <w:tcW w:type="dxa" w:w="2337"/>
          </w:tcPr>
          <w:p>
            <w:r>
              <w:t xml:space="preserve">2</w:t>
            </w:r>
          </w:p>
        </w:tc>
        <w:tc>
          <w:tcPr>
            <w:tcW w:type="dxa" w:w="2337"/>
          </w:tcPr>
          <w:p>
            <w:r>
              <w:t xml:space="preserve">AuditLog</w:t>
            </w:r>
          </w:p>
        </w:tc>
        <w:tc>
          <w:tcPr>
            <w:tcW w:type="dxa" w:w="2337"/>
          </w:tcPr>
          <w:p>
            <w:r>
              <w:t xml:space="preserve">Nhật ký thao tác/kiểm toán theo actor + tenant.</w:t>
            </w:r>
          </w:p>
        </w:tc>
        <w:tc>
          <w:tcPr>
            <w:tcW w:type="dxa" w:w="2337"/>
          </w:tcPr>
          <w:p>
            <w:r>
              <w:t xml:space="preserve">PostgreSQL</w:t>
            </w:r>
          </w:p>
        </w:tc>
      </w:tr>
      <w:tr>
        <w:tc>
          <w:tcPr>
            <w:tcW w:type="dxa" w:w="2337"/>
          </w:tcPr>
          <w:p>
            <w:r>
              <w:t xml:space="preserve">3</w:t>
            </w:r>
          </w:p>
        </w:tc>
        <w:tc>
          <w:tcPr>
            <w:tcW w:type="dxa" w:w="2337"/>
          </w:tcPr>
          <w:p>
            <w:r>
              <w:t xml:space="preserve">TenantHQ</w:t>
            </w:r>
          </w:p>
        </w:tc>
        <w:tc>
          <w:tcPr>
            <w:tcW w:type="dxa" w:w="2337"/>
          </w:tcPr>
          <w:p>
            <w:r>
              <w:t xml:space="preserve">Đơn vị HQ (`maHq`) và cấu hình phân quyền liên quan.</w:t>
            </w:r>
          </w:p>
        </w:tc>
        <w:tc>
          <w:tcPr>
            <w:tcW w:type="dxa" w:w="2337"/>
          </w:tcPr>
          <w:p>
            <w:r>
              <w:t xml:space="preserve">PostgreSQL</w:t>
            </w:r>
          </w:p>
        </w:tc>
      </w:tr>
    </w:tbl>
    <w:p>
      <w:pPr>
        <w:pStyle w:val="AHeading3"/>
      </w:pPr>
      <w:r>
        <w:t>Thiết kế tích hợp</w:t>
      </w:r>
    </w:p>
    <w:p>
      <w:pPr>
        <w:pStyle w:val="ETCContent"/>
      </w:pPr>
      <w:r>
        <w:t xml:space="preserve">Tích hợp VNACCS/ETAX qua module Nest; luồng KVGS có endpoint internal; gateway hỗ trợ thiết bị/quét mã.</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
            </w:r>
          </w:p>
        </w:tc>
        <w:tc>
          <w:tcPr>
            <w:tcW w:type="dxa" w:w="2337"/>
          </w:tcPr>
          <w:p>
            <w:r>
              <w:t xml:space="preserve">HTTP</w:t>
            </w:r>
          </w:p>
        </w:tc>
        <w:tc>
          <w:tcPr>
            <w:tcW w:type="dxa" w:w="2337"/>
          </w:tcPr>
          <w:p>
            <w:r>
              <w:t xml:space="preserve">Trao đổi dữ liệu HQ liên quan tờ khai/trạng thái.</w:t>
            </w:r>
          </w:p>
        </w:tc>
      </w:tr>
      <w:tr>
        <w:tc>
          <w:tcPr>
            <w:tcW w:type="dxa" w:w="2337"/>
          </w:tcPr>
          <w:p>
            <w:r>
              <w:t xml:space="preserve">2</w:t>
            </w:r>
          </w:p>
        </w:tc>
        <w:tc>
          <w:tcPr>
            <w:tcW w:type="dxa" w:w="2337"/>
          </w:tcPr>
          <w:p>
            <w:r>
              <w:t xml:space="preserve"/>
            </w:r>
          </w:p>
        </w:tc>
        <w:tc>
          <w:tcPr>
            <w:tcW w:type="dxa" w:w="2337"/>
          </w:tcPr>
          <w:p>
            <w:r>
              <w:t xml:space="preserve">HTTP</w:t>
            </w:r>
          </w:p>
        </w:tc>
        <w:tc>
          <w:tcPr>
            <w:tcW w:type="dxa" w:w="2337"/>
          </w:tcPr>
          <w:p>
            <w:r>
              <w:t xml:space="preserve">Luồng nghĩa vụ thuế/đối soát theo nghiệp vụ.</w:t>
            </w:r>
          </w:p>
        </w:tc>
      </w:tr>
    </w:tbl>
    <w:p>
      <w:pPr>
        <w:pStyle w:val="AHeading2"/>
      </w:pPr>
      <w:r>
        <w:t>Phương án đảm bảo an toàn thông tin</w:t>
      </w:r>
    </w:p>
    <w:p>
      <w:pPr>
        <w:pStyle w:val="ETCContent"/>
      </w:pPr>
      <w:r>
        <w:t xml:space="preserve">Hệ thống được xác định cấp độ 3 theo hướng dẫn NĐ 85/2016 (mức đề xuất ban đầu — phải thẩm định lại theo hồ sơ ATTT chính thức). Kế hoạch: rà soát tài sản, phân loại dữ liệu, kiểm soát truy cập, giám sát, ứng cứu.</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br/>
        <w:t xml:space="preserve">Luật số 45/2014/QH13; Luật số 21/2018/QH14; NĐ số 45/2026/NĐ-CP; NĐ số 85/2016/NĐ-CP; TT số 12/2022/TT-BTTTT; TT số 04/2020/TT-BTTTT; QĐ số 292/2025; QĐ số 2568</w:t>
      </w:r>
    </w:p>
    <w:p>
      <w:pPr>
        <w:pStyle w:val="ETCContent"/>
      </w:pPr>
      <w:r>
        <w:t xml:space="preserve">JWT RBAC; tenant isolation theo `maHq`; endpoint dev token chỉ dùng môi trường dev.</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Phương án tổ chức quản lý, khai thác</w:t>
      </w:r>
    </w:p>
    <w:p>
      <w:pPr>
        <w:pStyle w:val="ETCContent"/>
      </w:pPr>
      <w:r>
        <w:t xml:space="preserve">Runbook: healthcheck, restart, backup/restore, rotate secret, theo dõi log/metric; drill định kỳ.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Dự kiến tiến độ thực hiện</w:t>
      </w:r>
    </w:p>
    <w:p>
      <w:pPr>
        <w:pStyle w:val="ETCContent"/>
      </w:pPr>
      <w:r>
        <w:t xml:space="preserve">[CẦN BỔ SUNG: Mốc thời gian triển khai theo giai đoạn]</w:t>
      </w:r>
    </w:p>
    <w:p>
      <w:pPr>
        <w:pStyle w:val="AHeading2"/>
      </w:pPr>
      <w:r>
        <w:t>Xác định tổng mức đầu tư</w:t>
      </w:r>
    </w:p>
    <w:p>
      <w:pPr>
        <w:pStyle w:val="ETCContent"/>
      </w:pPr>
      <w:r>
        <w:t xml:space="preserve">[CẦN BỔ SUNG: Bóc khối lượng theo TT 04/2020/TT-BTTTT]</w:t>
      </w:r>
    </w:p>
    <w:p>
      <w:pPr>
        <w:pStyle w:val="AHeading2"/>
      </w:pPr>
      <w:r>
        <w:t>Xác định chi phí vận hành</w:t>
      </w:r>
    </w:p>
    <w:p>
      <w:pPr>
        <w:pStyle w:val="ETCContent"/>
      </w:pPr>
      <w:r>
        <w:t xml:space="preserve">[CẦN BỔ SUNG: Chi phí OM hàng năm]</w:t>
      </w:r>
    </w:p>
    <w:p>
      <w:pPr>
        <w:pStyle w:val="AHeading2"/>
      </w:pPr>
      <w:r>
        <w:t>Tổ chức quản lý dự án</w:t>
      </w:r>
    </w:p>
    <w:p>
      <w:pPr>
        <w:pStyle w:val="ETCContent"/>
      </w:pPr>
      <w:r>
        <w:t xml:space="preserve">[CẦN BỔ SUNG: Mô hình QLDA — BQL chuyên trách / kiêm nhiệm]</w:t>
      </w:r>
    </w:p>
    <w:p>
      <w:pPr>
        <w:pStyle w:val="Heading2"/>
      </w:pPr>
      <w:r>
        <w:t>Mục tiêu đầu tư</w:t>
      </w:r>
    </w:p>
    <w:p>
      <w:r>
        <w:t xml:space="preserve">Mục tiêu: (1) chuẩn hóa mô tả kiến trúc triển khai; (2) mô tả luồng nghiệp vụ theo module; (3) cung cấp bộ testcase tối thiểu smoke UI/API; (4) giảm rủi ro hiểu sai phân quyền tenant/role.</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Pattern kiến trúc phần mềm</w:t>
      </w:r>
    </w:p>
    <w:p>
      <w:r>
        <w:t xml:space="preserve">[CẦN BỔ SUNG: Phân tích lựa chọn microservices / monolith / SOA]</w:t>
      </w:r>
    </w:p>
    <w:p>
      <w:pPr>
        <w:pStyle w:val="Heading2"/>
      </w:pPr>
      <w:r>
        <w:t>Lựa chọn hệ quản trị CSDL</w:t>
      </w:r>
    </w:p>
    <w:p>
      <w:r>
        <w:t xml:space="preserve">[CẦN BỔ SUNG: Phân tích lựa chọn DBMS (RDBMS vs NoSQL, vendor)]</w:t>
      </w:r>
    </w:p>
    <w:p>
      <w:pPr>
        <w:pStyle w:val="Heading2"/>
      </w:pPr>
      <w:r>
        <w:t>Lựa chọn hệ điều hành</w:t>
      </w:r>
    </w:p>
    <w:p>
      <w:r>
        <w:t xml:space="preserve">[CẦN BỔ SUNG: Phân tích lựa chọn HĐH máy chủ (Linux distro / Windows Server)]</w:t>
      </w:r>
    </w:p>
    <w:p>
      <w:pPr>
        <w:pStyle w:val="Heading2"/>
      </w:pPr>
      <w:r>
        <w:t>Tiêu chuẩn áp dụng</w:t>
      </w:r>
    </w:p>
    <w:p>
      <w:r>
        <w:t xml:space="preserve">TypeScript strictness theo monorepo; lint/format theo biome/eslint (theo repo); logging structured; REST conventions; versioning API theo module prefix.</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Thiết kế phần mềm</w:t>
      </w:r>
    </w:p>
    <w:p>
      <w:r>
        <w:t xml:space="preserve">Monorepo chia app/service packages; web-admin gọi API qua rewrite; module API theo bounded context; guards cho auth/internal token.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Thiết kế hạ tầng</w:t>
      </w:r>
    </w:p>
    <w:p>
      <w:r>
        <w:t xml:space="preserve">Docker compose: web-admin publish port host; api/gateway expose port; db/redis có healthcheck; secret qua env.</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Thiết kế bảo mật chi tiết</w:t>
      </w:r>
    </w:p>
    <w:p>
      <w:r>
        <w:t xml:space="preserve">Quản lý: thiết lập chính sách ATTT, phân loại dữ liệu, ma trận truy cập, quy trình phê duyệt thay đổi, KPI ATTT định kỳ 30 ngày, và cơ chế giám sát tuân thủ theo TCVN 11930.</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br/>
        <w:t xml:space="preserve"/>
        <w:br/>
        <w:t xml:space="preserve">Kỹ thuật: TLS 1.2+, JWT TTL = 60 phút (đề xuất), rate limit login, validate input, output encoding, dependency scanning, secret rotation 90 ngày.</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br/>
        <w:t xml:space="preserve"/>
        <w:br/>
        <w:t xml:space="preserve">Vật lý: kiểm soát truy cập phòng máy chủ, khóa rack, CCTV/visitor log, phân vùng mạng DMZ cho gateway, kiểm soát USB/port ngoại vi.</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br/>
        <w:t xml:space="preserve"/>
        <w:br/>
        <w:t xml:space="preserve">Con người: phân quyền tối thiểu, training ATTT hàng quý, quy trình cấp/thu hồi quyền trong 24 giờ khi chuyển việc, kiểm tra trách nhiệm người dùng cuối.</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br/>
        <w:t xml:space="preserve"/>
        <w:br/>
        <w:t xml:space="preserve">Vận hành: SIEM log retention 90 ngày, backup Postgres 30 ngày, drill restore hàng quý, patch window, MTTR severity-1 = 4 giờ (đề xuất).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Giải pháp kỹ thuật ATTT</w:t>
      </w:r>
    </w:p>
    <w:p>
      <w:r>
        <w:t xml:space="preserve">TLS, JWT, rate limit, secret rotation, least privilege DB user, network segmentation theo môi trường.</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Chuẩn bị nguồn lực vận hành</w:t>
      </w:r>
    </w:p>
    <w:p>
      <w:r>
        <w:t xml:space="preserve">[CẦN BỔ SUNG: Nhân lực, thiết bị, hạ tầng chuẩn bị cho vận hành]</w:t>
      </w:r>
    </w:p>
    <w:p>
      <w:pPr>
        <w:pStyle w:val="Heading2"/>
      </w:pPr>
      <w:r>
        <w:t>Chuẩn bị quy chế vận hành</w:t>
      </w:r>
    </w:p>
    <w:p>
      <w:r>
        <w:t xml:space="preserve">[CẦN BỔ SUNG: Quy chế, quy trình, SOP vận hành]</w:t>
      </w:r>
    </w:p>
    <w:p>
      <w:pPr>
        <w:pStyle w:val="Heading2"/>
      </w:pPr>
      <w:r>
        <w:t>Hỗ trợ và đào tạo người dùng</w:t>
      </w:r>
    </w:p>
    <w:p>
      <w:r>
        <w:t xml:space="preserve">[CẦN BỔ SUNG: Phương án hỗ trợ, đào tạo, truyền thông tới người dùng]</w:t>
      </w:r>
    </w:p>
    <w:p>
      <w:pPr>
        <w:pStyle w:val="Heading2"/>
      </w:pPr>
      <w:r>
        <w:t>Các mốc triển khai (milestones)</w:t>
      </w:r>
    </w:p>
    <w:p>
      <w:r>
        <w:t xml:space="preserve">[CẦN BỔ SUNG: Các milestone chính: khởi động, thiết kế, triển khai, UAT, go-live]</w:t>
      </w:r>
    </w:p>
    <w:p>
      <w:pPr>
        <w:pStyle w:val="Heading2"/>
      </w:pPr>
      <w:r>
        <w:t>Kế hoạch tiến độ chi tiết</w:t>
      </w:r>
    </w:p>
    <w:p>
      <w:r>
        <w:t xml:space="preserve">[CẦN BỔ SUNG]</w:t>
      </w:r>
    </w:p>
    <w:p>
      <w:pPr>
        <w:pStyle w:val="Heading2"/>
      </w:pPr>
      <w:r>
        <w:t>Dự toán chi tiết</w:t>
      </w:r>
    </w:p>
    <w:p>
      <w:r>
        <w:t xml:space="preserve">[CẦN BỔ SUNG]</w:t>
      </w:r>
    </w:p>
    <w:p>
      <w:pPr>
        <w:pStyle w:val="Heading2"/>
      </w:pPr>
      <w:r>
        <w:t>Chi phí vận hành chi tiết</w:t>
      </w:r>
    </w:p>
    <w:p>
      <w:r>
        <w:t xml:space="preserve">[CẦN BỔ SUNG]</w:t>
      </w:r>
    </w:p>
    <w:p>
      <w:pPr>
        <w:pStyle w:val="Heading2"/>
      </w:pPr>
      <w:r>
        <w:t>Bảo hành, bảo trì</w:t>
      </w:r>
    </w:p>
    <w:p>
      <w:r>
        <w:t xml:space="preserve">[CẦN BỔ SUNG]</w:t>
      </w:r>
    </w:p>
    <w:p>
      <w:pPr>
        <w:pStyle w:val="Heading2"/>
      </w:pPr>
      <w:r>
        <w:t>Hình thức quản lý dự án</w:t>
      </w:r>
    </w:p>
    <w:p>
      <w:r>
        <w:t xml:space="preserve">[CẦN BỔ SUNG]</w:t>
      </w:r>
    </w:p>
    <w:p>
      <w:pPr>
        <w:pStyle w:val="Heading2"/>
      </w:pPr>
      <w:r>
        <w:t>Các bên liên quan</w:t>
      </w:r>
    </w:p>
    <w:p>
      <w:r>
        <w:t xml:space="preserve">[CẦN BỔ SUNG]</w:t>
      </w:r>
    </w:p>
    <w:p>
      <w:pPr>
        <w:pStyle w:val="Heading2"/>
      </w:pPr>
      <w:r>
        <w:t>Phương pháp quản lý dự án</w:t>
      </w:r>
    </w:p>
    <w:p>
      <w:r>
        <w:t xml:space="preserve">[CẦN BỔ SUNG]</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cơ sở</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