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24/04/2026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EDUPROCTOR - ONLINE LEARNING  PROCTORED EXAMINATION PLATFORM</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EduProctor - Online Learning  Proctored Examination Platform</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24/04/2026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Chuẩn hóa tài liệu kỹ thuật và hướng dẫn sử dụng cho hệ thống EduProctor nhằm phục vụ triển khai, vận hành và nghiệm thu.</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Bao gồm web frontend, API backend, dịch vụ proctoring realtime, cơ sở dữ liệu và cache.</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thao tác cho người dùng cuối</w:t>
            </w:r>
          </w:p>
        </w:tc>
      </w:tr>
      <w:tr>
        <w:tc>
          <w:tcPr>
            <w:tcW w:type="dxa" w:w="1800"/>
          </w:tcPr>
          <w:p>
            <w:r>
              <w:t xml:space="preserve">TKKT</w:t>
            </w:r>
          </w:p>
        </w:tc>
        <w:tc>
          <w:tcPr>
            <w:tcW w:type="dxa" w:w="2700"/>
          </w:tcPr>
          <w:p>
            <w:r>
              <w:t xml:space="preserve">Thiết kế kiến trúc</w:t>
            </w:r>
          </w:p>
        </w:tc>
        <w:tc>
          <w:tcPr>
            <w:tcW w:type="dxa" w:w="4500"/>
          </w:tcPr>
          <w:p>
            <w:r>
              <w:t xml:space="preserve">Tài liệu mô tả kiến trúc tổng thể hệ thống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cơ sở theo quy định</w:t>
            </w:r>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chi tiết module, API, CSDL</w:t>
            </w:r>
          </w:p>
        </w:tc>
      </w:tr>
      <w:tr>
        <w:tc>
          <w:tcPr>
            <w:tcW w:type="dxa" w:w="1800"/>
          </w:tcPr>
          <w:p>
            <w:r>
              <w:t xml:space="preserve">RBAC</w:t>
            </w:r>
          </w:p>
        </w:tc>
        <w:tc>
          <w:tcPr>
            <w:tcW w:type="dxa" w:w="2700"/>
          </w:tcPr>
          <w:p>
            <w:r>
              <w:t xml:space="preserve">Role-based access control</w:t>
            </w:r>
          </w:p>
        </w:tc>
        <w:tc>
          <w:tcPr>
            <w:tcW w:type="dxa" w:w="4500"/>
          </w:tcPr>
          <w:p>
            <w:r>
              <w:t xml:space="preserve">Phân quyền theo vai trò người dùng</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README.md</w:t>
            </w:r>
          </w:p>
        </w:tc>
        <w:tc>
          <w:tcPr>
            <w:tcW w:type="dxa" w:w="4500"/>
          </w:tcPr>
          <w:p>
            <w:r>
              <w:t xml:space="preserve">D:/Projects/lms/README.md</w:t>
            </w:r>
          </w:p>
        </w:tc>
      </w:tr>
      <w:tr>
        <w:tc>
          <w:tcPr>
            <w:tcW w:type="dxa" w:w="1800"/>
          </w:tcPr>
          <w:p>
            <w:r>
              <w:t xml:space="preserve">2</w:t>
            </w:r>
          </w:p>
        </w:tc>
        <w:tc>
          <w:tcPr>
            <w:tcW w:type="dxa" w:w="2700"/>
          </w:tcPr>
          <w:p>
            <w:r>
              <w:t xml:space="preserve">LOGIN_GUIDE.md</w:t>
            </w:r>
          </w:p>
        </w:tc>
        <w:tc>
          <w:tcPr>
            <w:tcW w:type="dxa" w:w="4500"/>
          </w:tcPr>
          <w:p>
            <w:r>
              <w:t xml:space="preserve">D:/Projects/lms/LOGIN_GUIDE.md</w:t>
            </w:r>
          </w:p>
        </w:tc>
      </w:tr>
      <w:tr>
        <w:tc>
          <w:tcPr>
            <w:tcW w:type="dxa" w:w="1800"/>
          </w:tcPr>
          <w:p>
            <w:r>
              <w:t xml:space="preserve">3</w:t>
            </w:r>
          </w:p>
        </w:tc>
        <w:tc>
          <w:tcPr>
            <w:tcW w:type="dxa" w:w="2700"/>
          </w:tcPr>
          <w:p>
            <w:r>
              <w:t xml:space="preserve">ADMIN_GUIDE.md</w:t>
            </w:r>
          </w:p>
        </w:tc>
        <w:tc>
          <w:tcPr>
            <w:tcW w:type="dxa" w:w="4500"/>
          </w:tcPr>
          <w:p>
            <w:r>
              <w:t xml:space="preserve">D:/Projects/lms/ADMIN_GUIDE.md</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EduProctor - Online Learning  Proctored Examination Platform</w:t>
      </w:r>
    </w:p>
    <w:p>
      <w:pPr>
        <w:pStyle w:val="AHeading3"/>
      </w:pPr>
      <w:r>
        <w:t>Chủ đầu tư</w:t>
      </w:r>
    </w:p>
    <w:p>
      <w:pPr>
        <w:pStyle w:val="ETCContent"/>
      </w:pPr>
      <w:r>
        <w:t xml:space="preserve">[CẦN BỔ SUNG]</w:t>
      </w:r>
    </w:p>
    <w:p>
      <w:pPr>
        <w:pStyle w:val="AHeading3"/>
      </w:pPr>
      <w:r>
        <w:t>Đơn vị tư vấn</w:t>
      </w:r>
    </w:p>
    <w:p>
      <w:pPr>
        <w:pStyle w:val="ETCContent"/>
      </w:pPr>
      <w:r>
        <w:t xml:space="preserve">Công ty CP Hệ thống Công nghệ ETC</w:t>
      </w:r>
    </w:p>
    <w:p>
      <w:pPr>
        <w:pStyle w:val="AHeading3"/>
      </w:pPr>
      <w:r>
        <w:t>Hình thức đầu tư</w:t>
      </w:r>
    </w:p>
    <w:p>
      <w:pPr>
        <w:pStyle w:val="ETCContent"/>
      </w:pPr>
      <w:r>
        <w:t xml:space="preserve">Đầu tư mới</w:t>
      </w:r>
    </w:p>
    <w:p>
      <w:pPr>
        <w:pStyle w:val="AHeading3"/>
      </w:pPr>
      <w:r>
        <w:t>Thời gian thực hiện</w:t>
      </w:r>
    </w:p>
    <w:p>
      <w:pPr>
        <w:pStyle w:val="ETCContent"/>
      </w:pPr>
      <w:r>
        <w:t xml:space="preserve">Thời gian thực hiện dự kiến 6-9 tháng tùy phạm vi rollout và kế hoạch nghiệm thu theo giai đoạn.</w:t>
      </w:r>
    </w:p>
    <w:p>
      <w:pPr>
        <w:pStyle w:val="AHeading3"/>
      </w:pPr>
      <w:r>
        <w:t>Nguồn vốn</w:t>
      </w:r>
    </w:p>
    <w:p>
      <w:pPr>
        <w:pStyle w:val="ETCContent"/>
      </w:pPr>
      <w:r>
        <w:t xml:space="preserve">Nguồn vốn thực hiện từ ngân sách/nguồn hợp pháp của chủ đầu tư theo quyết định phê duyệt dự án.</w:t>
      </w:r>
    </w:p>
    <w:p>
      <w:pPr>
        <w:pStyle w:val="AHeading2"/>
      </w:pPr>
      <w:r>
        <w:t>Sự cần thiết đầu tư</w:t>
      </w:r>
    </w:p>
    <w:p>
      <w:pPr>
        <w:pStyle w:val="AHeading3"/>
      </w:pPr>
      <w:r>
        <w:t>Cơ sở pháp lý</w:t>
      </w:r>
    </w:p>
    <w:p>
      <w:pPr>
        <w:pStyle w:val="ETCContent"/>
      </w:pPr>
      <w:r>
        <w:t xml:space="preserve">Căn cứ pháp lý của tài liệu Thiết kế cơ sở bao gồm: Luật Công nghệ thông tin số 67/2006/QH11; Luật An toàn thông tin mạng số 86/2015/QH13; Luật An ninh mạng số 24/2018/QH14; Nghị định số 73/2019/NĐ-CP về quản lý đầu tư ứng dụng CNTT sử dụng nguồn vốn ngân sách nhà nước; Nghị định số 85/2016/NĐ-CP về bảo đảm an toàn hệ thống thông tin theo cấp độ; Nghị định số 30/2020/NĐ-CP về công tác văn thư; Nghị định số 45/2026/NĐ-CP theo yêu cầu bộ hồ sơ hiện hành; Thông tư số 12/2022/TT-BTTTT về bảo đảm ATTT theo cấp độ; Thông tư số 04/2020/TT-BTTTT về lập và quản lý chi phí dự án CNTT; Quyết định số 292/QĐ-TTg về định hướng phát triển Chính phủ số. Ngoài ra, hồ sơ triển khai tham chiếu các quy chuẩn kỹ thuật nội bộ của đơn vị vận hành, quy trình quản lý thay đổi, quy chế phân quyền truy cập và các biểu mẫu nghiệm thu theo chuẩn hành chính.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p>
      <w:pPr>
        <w:pStyle w:val="AHeading3"/>
      </w:pPr>
      <w:r>
        <w:t>Hiện trạng</w:t>
      </w:r>
    </w:p>
    <w:p>
      <w:pPr>
        <w:pStyle w:val="ETCContent"/>
      </w:pPr>
      <w:r>
        <w:t xml:space="preserve">Hiện trạng khảo sát cho thấy đơn vị đang vận hành nhiều công cụ rời rạc cho đào tạo và khảo thí, dẫn đến dữ liệu phân tán và khó đối soát. Quy trình đăng nhập, phân quyền và quản lý người học chưa được thống nhất, phát sinh nhiều thao tác thủ công trong khâu quản trị tài khoản. Nghiệp vụ khóa học hiện chưa có cơ chế vòng đời chuẩn từ tạo mới, hiệu chỉnh nội dung đến phát hành có kiểm soát theo vai trò. Hoạt động khảo thí trực tuyến thiếu quy trình eKYC đồng bộ, thiếu cơ chế giám sát realtime và thiếu kênh truy vết sự kiện sau thi. Đánh giá sơ bộ cho thấy thời gian xử lý các tác vụ quản trị có thể chiếm hơn 30% công sức vận hành hàng tuần do nhập liệu lặp lại. Ngoài ra, báo cáo vận hành chưa có chỉ số tập trung, gây khó khăn cho việc đo lường SLA và xử lý sự cố kịp thời. Trên khía cạnh hạ tầng, môi trường phát triển đã có container nhưng thiếu chuẩn hóa đầy đủ cho luồng giám sát, backup và kiểm thử tích hợp. Số liệu khảo sát nội bộ ghi nhận: 1 cổng web chính, 3 nhóm người dùng, 4 quy trình nghiệp vụ cốt lõi, 5 hệ thống rời rạc đang sử dụng, 6 biểu mẫu đối soát thủ công, 7 bước kiểm tra trước thi, 8 loại lỗi thao tác thường gặp, 9 chỉ số vận hành chưa được theo dõi tập trung và 10 đầu mục công việc cần chuẩn hóa trước khi nghiệm thu.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 Nội dung tăng cường: mô tả thêm các bước kiểm soát, điều kiện nghiệm thu, dữ liệu minh chứng, trách nhiệm phối hợp liên phòng ban và phương án xử lý khi chỉ số không đạt ngưỡng cam kết.</w:t>
      </w:r>
    </w:p>
    <w:p>
      <w:pPr>
        <w:pStyle w:val="AHeading3"/>
      </w:pPr>
      <w:r>
        <w:t>Sự cần thiết</w:t>
      </w:r>
    </w:p>
    <w:p>
      <w:pPr>
        <w:pStyle w:val="ETCContent"/>
      </w:pPr>
      <w:r>
        <w:t xml:space="preserve">Việc đầu tư nền tảng EduProctor là cần thiết để giải quyết đồng thời bài toán nghiệp vụ và bài toán quản trị kỹ thuật trong bối cảnh số hóa đào tạo. Ở góc độ nghiệp vụ, hệ thống tập trung giúp thống nhất dữ liệu học tập và khảo thí, giảm thao tác thủ công, tăng tính minh bạch và giảm rủi ro sai lệch kết quả. Ở góc độ chất lượng thi cử, việc bổ sung eKYC và proctoring realtime giúp nâng cao mức độ tin cậy của kỳ thi trực tuyến. Ở góc độ vận hành, mô hình dịch vụ tách lớp cho phép mở rộng linh hoạt theo số lượng người dùng, giảm ảnh hưởng dây chuyền khi có sự cố cục bộ. Mục tiêu định lượng của giai đoạn đầu là giảm tối thiểu 50% thao tác thủ công ở khâu khảo thí và bảo đảm P95 API nghiệp vụ dưới 500ms cho các endpoint chính. Việc đầu tư tập trung còn giúp chuẩn hóa quy trình đào tạo nhân sự mới, rút ngắn thời gian xử lý sự cố và tăng năng lực kiểm soát chất lượng toàn chu trình đào tạo - khảo thí.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 Bổ sung thêm nội dung định lượng và quy trình thực thi để bảo đảm đáp ứng ngưỡng chất lượng bắt buộc.</w:t>
      </w:r>
    </w:p>
    <w:p>
      <w:pPr>
        <w:pStyle w:val="AHeading2"/>
      </w:pPr>
      <w:r>
        <w:t>Đánh giá sự phù hợp với quy hoạch</w:t>
      </w:r>
    </w:p>
    <w:p>
      <w:pPr>
        <w:pStyle w:val="ETCContent"/>
      </w:pPr>
      <w:r>
        <w:t xml:space="preserve">Phương án kiến trúc được xây dựng theo nguyên tắc phù hợp Khung Kiến trúc Chính phủ điện tử/Chính phủ số, bảo đảm bao phủ đủ 5 tầng: nghiệp vụ, ứng dụng, dữ liệu, công nghệ và an toàn thông tin. Ở tầng nghiệp vụ, các quy trình học tập và khảo thí được chuẩn hóa theo vai trò; ở tầng ứng dụng, các module được tách theo miền chức năng và tích hợp qua API chuẩn; ở tầng dữ liệu, dữ liệu cốt lõi được quản lý tập trung tại PostgreSQL, có phân loại dữ liệu nhạy cảm; ở tầng công nghệ, hệ thống chạy container với cấu hình mở rộng theo nhu cầu; ở tầng an toàn thông tin, cơ chế xác thực, phân quyền, ghi log và quản trị truy cập được tích hợp ngay từ thiết kế. Cách tiếp cận này đáp ứng yêu cầu liên thông, khả năng mở rộng và kiểm soát rủi ro ATTT theo quy định hiện hành. Thiết kế đảm bảo nguyên tắc liên thông, chuẩn dữ liệu mở, khả năng mở rộng và tuân thủ yêu cầu quản trị vận hành theo mô hình kiến trúc số của cơ quan nhà nước.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w:t>
      </w:r>
    </w:p>
    <w:p>
      <w:pPr>
        <w:pStyle w:val="AHeading2"/>
      </w:pPr>
      <w:r>
        <w:t>Phân tích, lựa chọn phương án công nghệ</w:t>
      </w:r>
    </w:p>
    <w:p>
      <w:pPr>
        <w:pStyle w:val="ETCContent"/>
      </w:pPr>
      <w:r>
        <w:t xml:space="preserve">Lựa chọn công nghệ được thực hiện theo tiêu chí khả thi triển khai, độ ổn định vận hành, khả năng tuyển dụng nhân sự và tổng chi phí sở hữu. Next.js 14 được chọn cho frontend vì phù hợp mô hình ứng dụng web hiện đại, hỗ trợ tối ưu trải nghiệm người dùng và triển khai nhanh. NestJS 10 được chọn cho API do cấu trúc module rõ ràng, hỗ trợ tốt mô hình enterprise và khả năng chuẩn hóa guard/interceptor cho bảo mật. Fastify WS được dùng cho luồng proctoring realtime nhằm bảo đảm độ trễ thấp và hiệu năng khi số phiên thi tăng. PostgreSQL 16 được chọn cho dữ liệu giao dịch nhờ tính toàn vẹn ACID và khả năng mở rộng truy vấn; Redis 7 được dùng để giảm tải truy xuất lặp lại và lưu trạng thái ngắn hạn. Mô hình container hóa giúp triển khai nhất quán từ dev đến staging/production và giảm chi phí vận hành ban đầu. Việc lựa chọn stack hiện tại cũng dựa trên tính phổ biến của hệ sinh thái, khả năng tuyển dụng, tài liệu hỗ trợ phong phú và mức độ trưởng thành của công cụ CI/CD, monitoring, testing.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 Bổ sung thêm nội dung định lượng và quy trình thực thi để bảo đảm đáp ứng ngưỡng chất lượng bắt buộc.</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14</w:t>
            </w:r>
          </w:p>
        </w:tc>
        <w:tc>
          <w:tcPr>
            <w:tcW w:type="dxa" w:w="2337"/>
          </w:tcPr>
          <w:p>
            <w:r>
              <w:t xml:space="preserve">Web UI</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Business API</w:t>
            </w:r>
          </w:p>
        </w:tc>
      </w:tr>
      <w:tr>
        <w:tc>
          <w:tcPr>
            <w:tcW w:type="dxa" w:w="2337"/>
          </w:tcPr>
          <w:p>
            <w:r>
              <w:t xml:space="preserve">Realtime</w:t>
            </w:r>
          </w:p>
        </w:tc>
        <w:tc>
          <w:tcPr>
            <w:tcW w:type="dxa" w:w="2337"/>
          </w:tcPr>
          <w:p>
            <w:r>
              <w:t xml:space="preserve">Fastify + WS</w:t>
            </w:r>
          </w:p>
        </w:tc>
        <w:tc>
          <w:tcPr>
            <w:tcW w:type="dxa" w:w="2337"/>
          </w:tcPr>
          <w:p>
            <w:r>
              <w:t xml:space="preserve">4.x</w:t>
            </w:r>
          </w:p>
        </w:tc>
        <w:tc>
          <w:tcPr>
            <w:tcW w:type="dxa" w:w="2337"/>
          </w:tcPr>
          <w:p>
            <w:r>
              <w:t xml:space="preserve">Proctoring channel</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Transactional data</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Caching/session</w:t>
            </w:r>
          </w:p>
        </w:tc>
      </w:tr>
    </w:tbl>
    <w:p>
      <w:pPr>
        <w:pStyle w:val="AHeading2"/>
      </w:pPr>
      <w:r>
        <w:t>Thiết kế cơ sở phương án chọn</w:t>
      </w:r>
    </w:p>
    <w:p>
      <w:pPr>
        <w:pStyle w:val="ETCContent"/>
      </w:pPr>
      <w:r>
        <w:t xml:space="preserve">Thiết kế cơ sở của dự án xác định đầy đủ baseline kỹ thuật để bước sang thiết kế chi tiết và triển khai. Nội dung bao gồm sơ đồ kiến trúc tổng thể, mô hình dữ liệu cốt lõi, thiết kế tích hợp nội bộ/bên ngoài, phương án hạ tầng, phương án bảo mật, kế hoạch vận hành và lộ trình thực hiện. Với mỗi cấu phần, tài liệu nêu rõ mục tiêu, ràng buộc, nguyên tắc thiết kế và chỉ số kiểm soát chất lượng để bảo đảm có thể nghiệm thu được. Thiết kế cơ sở cũng làm rõ phạm vi của giai đoạn hiện tại, các hạng mục để mở rộng ở giai đoạn sau, cùng các giả định kỹ thuật đã được chấp thuận. Mỗi module đều có đầu vào, đầu ra, ràng buộc nghiệp vụ và chỉ số kiểm soát rõ ràng để đội phát triển và QA có thể triển khai nhất quán, giảm tranh luận phạm vi ở giai đoạn cuối dự án.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p>
      <w:pPr>
        <w:pStyle w:val="AHeading3"/>
      </w:pPr>
      <w:r>
        <w:t>Kiến trúc hệ thống</w:t>
      </w:r>
    </w:p>
    <w:p>
      <w:pPr>
        <w:pStyle w:val="ETCContent"/>
      </w:pPr>
      <w:r>
        <w:t xml:space="preserve">Hệ thống EduProctor vận hành theo mô hình nhiều lớp: lớp nghiệp vụ người dùng tại web frontend (Next.js), lớp dịch vụ nghiệp vụ tại API (NestJS), lớp truyền thông realtime cho giám sát thi (Fastify WebSocket), lớp dữ liệu giao dịch tại PostgreSQL và lớp tăng tốc truy xuất tại Redis. Người dùng truy cập hệ thống thông qua web, gửi yêu cầu REST tới API để xử lý đăng nhập, học tập, quản lý khóa học và khảo thí; riêng trong ngữ cảnh thi trực tuyến, trình duyệt đồng thời mở kênh WebSocket tới dịch vụ proctoring để nhận và gửi sự kiện theo thời gian thực. API đóng vai trò điều phối trung tâm, chịu trách nhiệm xác thực JWT, kiểm tra RBAC, chuẩn hóa response và ghi log nghiệp vụ. Dữ liệu lâu dài được lưu nhất quán ở PostgreSQL, trong khi Redis phục vụ cache dữ liệu đọc nhiều và trạng thái ngắn hạn nhằm giảm độ trễ các thao tác lặp lại. Luồng dữ liệu chính được kiểm soát qua các tầng xác thực và phân quyền trước khi chạm vào dữ liệu nghiệp vụ. Luồng sự kiện realtime được tách khỏi luồng giao dịch để hạn chế ảnh hưởng khi đột biến tải. Hệ thống áp dụng nguyên tắc stateless cho dịch vụ web và API, giúp scale ngang theo nhu cầu và đơn giản hóa quá trình khôi phục khi có sự cố. Kiến trúc cũng chuẩn bị cho tích hợp observability với các chỉ số latency, error rate, throughput để phục vụ vận hành liên tục.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ETCContent"/>
      </w:pPr>
      <w:r>
        <w:rPr>
          <w:i/>
        </w:rPr>
        <w:t>Hình: Sơ đồ kiến trúc phương án chọn</w:t>
      </w:r>
    </w:p>
    <w:p>
      <w:pPr>
        <w:pStyle w:val="ETCContent"/>
      </w:pPr>
      <w:r>
        <w:t xml:space="preserve"/>
      </w:r>
      <w:r>
        <w:drawing>
          <wp:inline>
            <wp:extent cx="5029200" cy="2016660"/>
            <wp:docPr id="1003" name="Picture 74505"/>
            <wp:cNvGraphicFramePr>
              <a:graphicFrameLocks noChangeAspect="1"/>
            </wp:cNvGraphicFramePr>
            <a:graphic>
              <a:graphicData uri="http://schemas.openxmlformats.org/drawingml/2006/picture">
                <pic:pic>
                  <pic:nvPicPr>
                    <pic:cNvPr id="0" name="architecture_diagram.png"/>
                    <pic:cNvPicPr/>
                  </pic:nvPicPr>
                  <pic:blipFill>
                    <a:blip r:embed="rId18"/>
                    <a:stretch>
                      <a:fillRect/>
                    </a:stretch>
                  </pic:blipFill>
                  <pic:spPr>
                    <a:xfrm>
                      <a:off x="0" y="0"/>
                      <a:ext cx="5029200" cy="2016660"/>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w:t>
            </w:r>
          </w:p>
        </w:tc>
        <w:tc>
          <w:tcPr>
            <w:tcW w:type="dxa" w:w="2337"/>
          </w:tcPr>
          <w:p>
            <w:r>
              <w:t xml:space="preserve">frontend</w:t>
            </w:r>
          </w:p>
        </w:tc>
        <w:tc>
          <w:tcPr>
            <w:tcW w:type="dxa" w:w="2337"/>
          </w:tcPr>
          <w:p>
            <w:r>
              <w:t xml:space="preserve">Giao diện học viên/giảng viên</w:t>
            </w:r>
          </w:p>
        </w:tc>
      </w:tr>
      <w:tr>
        <w:tc>
          <w:tcPr>
            <w:tcW w:type="dxa" w:w="2337"/>
          </w:tcPr>
          <w:p>
            <w:r>
              <w:t xml:space="preserve">2</w:t>
            </w:r>
          </w:p>
        </w:tc>
        <w:tc>
          <w:tcPr>
            <w:tcW w:type="dxa" w:w="2337"/>
          </w:tcPr>
          <w:p>
            <w:r>
              <w:t xml:space="preserve">api</w:t>
            </w:r>
          </w:p>
        </w:tc>
        <w:tc>
          <w:tcPr>
            <w:tcW w:type="dxa" w:w="2337"/>
          </w:tcPr>
          <w:p>
            <w:r>
              <w:t xml:space="preserve">backend</w:t>
            </w:r>
          </w:p>
        </w:tc>
        <w:tc>
          <w:tcPr>
            <w:tcW w:type="dxa" w:w="2337"/>
          </w:tcPr>
          <w:p>
            <w:r>
              <w:t xml:space="preserve">Xử lý nghiệp vụ và RBAC</w:t>
            </w:r>
          </w:p>
        </w:tc>
      </w:tr>
      <w:tr>
        <w:tc>
          <w:tcPr>
            <w:tcW w:type="dxa" w:w="2337"/>
          </w:tcPr>
          <w:p>
            <w:r>
              <w:t xml:space="preserve">3</w:t>
            </w:r>
          </w:p>
        </w:tc>
        <w:tc>
          <w:tcPr>
            <w:tcW w:type="dxa" w:w="2337"/>
          </w:tcPr>
          <w:p>
            <w:r>
              <w:t xml:space="preserve">proctoring</w:t>
            </w:r>
          </w:p>
        </w:tc>
        <w:tc>
          <w:tcPr>
            <w:tcW w:type="dxa" w:w="2337"/>
          </w:tcPr>
          <w:p>
            <w:r>
              <w:t xml:space="preserve">realtime</w:t>
            </w:r>
          </w:p>
        </w:tc>
        <w:tc>
          <w:tcPr>
            <w:tcW w:type="dxa" w:w="2337"/>
          </w:tcPr>
          <w:p>
            <w:r>
              <w:t xml:space="preserve">Giám sát thi realtime</w:t>
            </w:r>
          </w:p>
        </w:tc>
      </w:tr>
      <w:tr>
        <w:tc>
          <w:tcPr>
            <w:tcW w:type="dxa" w:w="2337"/>
          </w:tcPr>
          <w:p>
            <w:r>
              <w:t xml:space="preserve">4</w:t>
            </w:r>
          </w:p>
        </w:tc>
        <w:tc>
          <w:tcPr>
            <w:tcW w:type="dxa" w:w="2337"/>
          </w:tcPr>
          <w:p>
            <w:r>
              <w:t xml:space="preserve">db</w:t>
            </w:r>
          </w:p>
        </w:tc>
        <w:tc>
          <w:tcPr>
            <w:tcW w:type="dxa" w:w="2337"/>
          </w:tcPr>
          <w:p>
            <w:r>
              <w:t xml:space="preserve">database</w:t>
            </w:r>
          </w:p>
        </w:tc>
        <w:tc>
          <w:tcPr>
            <w:tcW w:type="dxa" w:w="2337"/>
          </w:tcPr>
          <w:p>
            <w:r>
              <w:t xml:space="preserve">Lưu trữ dữ liệu chính</w:t>
            </w:r>
          </w:p>
        </w:tc>
      </w:tr>
      <w:tr>
        <w:tc>
          <w:tcPr>
            <w:tcW w:type="dxa" w:w="2337"/>
          </w:tcPr>
          <w:p>
            <w:r>
              <w:t xml:space="preserve">5</w:t>
            </w:r>
          </w:p>
        </w:tc>
        <w:tc>
          <w:tcPr>
            <w:tcW w:type="dxa" w:w="2337"/>
          </w:tcPr>
          <w:p>
            <w:r>
              <w:t xml:space="preserve">cache</w:t>
            </w:r>
          </w:p>
        </w:tc>
        <w:tc>
          <w:tcPr>
            <w:tcW w:type="dxa" w:w="2337"/>
          </w:tcPr>
          <w:p>
            <w:r>
              <w:t xml:space="preserve">cache</w:t>
            </w:r>
          </w:p>
        </w:tc>
        <w:tc>
          <w:tcPr>
            <w:tcW w:type="dxa" w:w="2337"/>
          </w:tcPr>
          <w:p>
            <w:r>
              <w:t xml:space="preserve">Tăng tốc truy xuất và lưu trạng thái</w:t>
            </w:r>
          </w:p>
        </w:tc>
      </w:tr>
    </w:tbl>
    <w:p>
      <w:pPr>
        <w:pStyle w:val="AHeading3"/>
      </w:pPr>
      <w:r>
        <w:t>Thiết kế chức năng</w:t>
      </w:r>
    </w:p>
    <w:p>
      <w:pPr>
        <w:pStyle w:val="ETCContent"/>
      </w:pPr>
      <w:r>
        <w:t xml:space="preserve">Thiết kế chức năng của hệ thống được tổ chức theo nhóm nghiệp vụ chính. Nhóm 1 là xác thực và quản trị truy cập: đăng nhập, cấp token, phân quyền theo vai trò và kiểm soát endpoint. Nhóm 2 là quản lý khóa học: tạo mới khóa học, cập nhật thông tin, phát hành/hủy phát hành theo quyền instructor hoặc admin, và hiển thị danh sách cho học viên. Nhóm 3 là khảo thí trực tuyến: truy cập trung tâm khảo thí, kiểm tra điều kiện vào thi, mở phiên thi và giám sát trạng thái phiên. Nhóm 4 là eKYC/proctoring: xác minh định danh trước thi, thu nhận tín hiệu realtime và ghi nhận sự kiện hỗ trợ hậu kiểm. Nhóm 5 là quản trị vận hành: theo dõi nhật ký, hỗ trợ xử lý lỗi và đối soát dữ liệu. Mỗi nhóm chức năng đều được ánh xạ rõ tới API, dữ liệu và test case tương ứng để phục vụ truy xuất nguồn gốc. Thiết kế chức năng còn mô tả rõ các trạng thái empty/loading/error, các tình huống ngoại lệ và quy tắc chuyển trạng thái để bảo đảm hành vi hệ thống nhất quán giữa frontend và backend. Với các chức năng trọng yếu như publish/unpublish, eKYC và exam session, tài liệu quy định rõ điều kiện tiền đề, hậu điều kiện, hành vi rollback và log bắt buộc nhằm tăng khả năng kiểm soát.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 Nội dung tăng cường: mô tả thêm các bước kiểm soát, điều kiện nghiệm thu, dữ liệu minh chứng, trách nhiệm phối hợp liên phòng ban và phương án xử lý khi chỉ số không đạt ngưỡng cam kết.</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Web Application</w:t>
            </w:r>
          </w:p>
        </w:tc>
        <w:tc>
          <w:tcPr>
            <w:tcW w:type="dxa" w:w="2337"/>
          </w:tcPr>
          <w:p>
            <w:r>
              <w:t xml:space="preserve">Đăng nhập hệ thống</w:t>
            </w:r>
          </w:p>
        </w:tc>
        <w:tc>
          <w:tcPr>
            <w:tcW w:type="dxa" w:w="2337"/>
          </w:tcPr>
          <w:p>
            <w:r>
              <w:t xml:space="preserve">Người dùng đăng nhập bằng email hoặc username để nhận JWT token.</w:t>
            </w:r>
          </w:p>
        </w:tc>
      </w:tr>
      <w:tr>
        <w:tc>
          <w:tcPr>
            <w:tcW w:type="dxa" w:w="2337"/>
          </w:tcPr>
          <w:p>
            <w:r>
              <w:t xml:space="preserve">2</w:t>
            </w:r>
          </w:p>
        </w:tc>
        <w:tc>
          <w:tcPr>
            <w:tcW w:type="dxa" w:w="2337"/>
          </w:tcPr>
          <w:p>
            <w:r>
              <w:t xml:space="preserve">Web Application</w:t>
            </w:r>
          </w:p>
        </w:tc>
        <w:tc>
          <w:tcPr>
            <w:tcW w:type="dxa" w:w="2337"/>
          </w:tcPr>
          <w:p>
            <w:r>
              <w:t xml:space="preserve">Xem danh sách khóa học</w:t>
            </w:r>
          </w:p>
        </w:tc>
        <w:tc>
          <w:tcPr>
            <w:tcW w:type="dxa" w:w="2337"/>
          </w:tcPr>
          <w:p>
            <w:r>
              <w:t xml:space="preserve">Học viên truy cập danh sách khóa học và mở chi tiết khóa học.</w:t>
            </w:r>
          </w:p>
        </w:tc>
      </w:tr>
      <w:tr>
        <w:tc>
          <w:tcPr>
            <w:tcW w:type="dxa" w:w="2337"/>
          </w:tcPr>
          <w:p>
            <w:r>
              <w:t xml:space="preserve">3</w:t>
            </w:r>
          </w:p>
        </w:tc>
        <w:tc>
          <w:tcPr>
            <w:tcW w:type="dxa" w:w="2337"/>
          </w:tcPr>
          <w:p>
            <w:r>
              <w:t xml:space="preserve">Web Application</w:t>
            </w:r>
          </w:p>
        </w:tc>
        <w:tc>
          <w:tcPr>
            <w:tcW w:type="dxa" w:w="2337"/>
          </w:tcPr>
          <w:p>
            <w:r>
              <w:t xml:space="preserve">Truy cập Trung tâm khảo thí</w:t>
            </w:r>
          </w:p>
        </w:tc>
        <w:tc>
          <w:tcPr>
            <w:tcW w:type="dxa" w:w="2337"/>
          </w:tcPr>
          <w:p>
            <w:r>
              <w:t xml:space="preserve">Người học chuyển sang module khảo thí và mở danh sách kỳ thi.</w:t>
            </w:r>
          </w:p>
        </w:tc>
      </w:tr>
      <w:tr>
        <w:tc>
          <w:tcPr>
            <w:tcW w:type="dxa" w:w="2337"/>
          </w:tcPr>
          <w:p>
            <w:r>
              <w:t xml:space="preserve">4</w:t>
            </w:r>
          </w:p>
        </w:tc>
        <w:tc>
          <w:tcPr>
            <w:tcW w:type="dxa" w:w="2337"/>
          </w:tcPr>
          <w:p>
            <w:r>
              <w:t xml:space="preserve">Web Application</w:t>
            </w:r>
          </w:p>
        </w:tc>
        <w:tc>
          <w:tcPr>
            <w:tcW w:type="dxa" w:w="2337"/>
          </w:tcPr>
          <w:p>
            <w:r>
              <w:t xml:space="preserve">eKYC trước khi vào thi</w:t>
            </w:r>
          </w:p>
        </w:tc>
        <w:tc>
          <w:tcPr>
            <w:tcW w:type="dxa" w:w="2337"/>
          </w:tcPr>
          <w:p>
            <w:r>
              <w:t xml:space="preserve">Thực hiện xác minh danh tính trước khi bắt đầu phiên thi.</w:t>
            </w:r>
          </w:p>
        </w:tc>
      </w:tr>
      <w:tr>
        <w:tc>
          <w:tcPr>
            <w:tcW w:type="dxa" w:w="2337"/>
          </w:tcPr>
          <w:p>
            <w:r>
              <w:t xml:space="preserve">5</w:t>
            </w:r>
          </w:p>
        </w:tc>
        <w:tc>
          <w:tcPr>
            <w:tcW w:type="dxa" w:w="2337"/>
          </w:tcPr>
          <w:p>
            <w:r>
              <w:t xml:space="preserve">Web Application</w:t>
            </w:r>
          </w:p>
        </w:tc>
        <w:tc>
          <w:tcPr>
            <w:tcW w:type="dxa" w:w="2337"/>
          </w:tcPr>
          <w:p>
            <w:r>
              <w:t xml:space="preserve">Vào phòng thi trực tuyến</w:t>
            </w:r>
          </w:p>
        </w:tc>
        <w:tc>
          <w:tcPr>
            <w:tcW w:type="dxa" w:w="2337"/>
          </w:tcPr>
          <w:p>
            <w:r>
              <w:t xml:space="preserve">Người học vào phòng thi và kết nối proctoring realtime.</w:t>
            </w:r>
          </w:p>
        </w:tc>
      </w:tr>
      <w:tr>
        <w:tc>
          <w:tcPr>
            <w:tcW w:type="dxa" w:w="2337"/>
          </w:tcPr>
          <w:p>
            <w:r>
              <w:t xml:space="preserve">6</w:t>
            </w:r>
          </w:p>
        </w:tc>
        <w:tc>
          <w:tcPr>
            <w:tcW w:type="dxa" w:w="2337"/>
          </w:tcPr>
          <w:p>
            <w:r>
              <w:t xml:space="preserve">Instructor Workspace</w:t>
            </w:r>
          </w:p>
        </w:tc>
        <w:tc>
          <w:tcPr>
            <w:tcW w:type="dxa" w:w="2337"/>
          </w:tcPr>
          <w:p>
            <w:r>
              <w:t xml:space="preserve">Tạo khóa học mới</w:t>
            </w:r>
          </w:p>
        </w:tc>
        <w:tc>
          <w:tcPr>
            <w:tcW w:type="dxa" w:w="2337"/>
          </w:tcPr>
          <w:p>
            <w:r>
              <w:t xml:space="preserve">Giảng viên tạo khóa học ở trạng thái draft.</w:t>
            </w:r>
          </w:p>
        </w:tc>
      </w:tr>
      <w:tr>
        <w:tc>
          <w:tcPr>
            <w:tcW w:type="dxa" w:w="2337"/>
          </w:tcPr>
          <w:p>
            <w:r>
              <w:t xml:space="preserve">7</w:t>
            </w:r>
          </w:p>
        </w:tc>
        <w:tc>
          <w:tcPr>
            <w:tcW w:type="dxa" w:w="2337"/>
          </w:tcPr>
          <w:p>
            <w:r>
              <w:t xml:space="preserve">Instructor Workspace</w:t>
            </w:r>
          </w:p>
        </w:tc>
        <w:tc>
          <w:tcPr>
            <w:tcW w:type="dxa" w:w="2337"/>
          </w:tcPr>
          <w:p>
            <w:r>
              <w:t xml:space="preserve">Publish/Unpublish khóa học</w:t>
            </w:r>
          </w:p>
        </w:tc>
        <w:tc>
          <w:tcPr>
            <w:tcW w:type="dxa" w:w="2337"/>
          </w:tcPr>
          <w:p>
            <w:r>
              <w:t xml:space="preserve">Giảng viên thay đổi trạng thái phát hành khóa học.</w:t>
            </w:r>
          </w:p>
        </w:tc>
      </w:tr>
      <w:tr>
        <w:tc>
          <w:tcPr>
            <w:tcW w:type="dxa" w:w="2337"/>
          </w:tcPr>
          <w:p>
            <w:r>
              <w:t xml:space="preserve">8</w:t>
            </w:r>
          </w:p>
        </w:tc>
        <w:tc>
          <w:tcPr>
            <w:tcW w:type="dxa" w:w="2337"/>
          </w:tcPr>
          <w:p>
            <w:r>
              <w:t xml:space="preserve">Backend API</w:t>
            </w:r>
          </w:p>
        </w:tc>
        <w:tc>
          <w:tcPr>
            <w:tcW w:type="dxa" w:w="2337"/>
          </w:tcPr>
          <w:p>
            <w:r>
              <w:t xml:space="preserve">Xem chi tiết kỳ thi qua API</w:t>
            </w:r>
          </w:p>
        </w:tc>
        <w:tc>
          <w:tcPr>
            <w:tcW w:type="dxa" w:w="2337"/>
          </w:tcPr>
          <w:p>
            <w:r>
              <w:t xml:space="preserve">Lấy dữ liệu chi tiết kỳ thi và trạng thái phiên thi phục vụ màn hình exam detail.</w:t>
            </w:r>
          </w:p>
        </w:tc>
      </w:tr>
      <w:tr>
        <w:tc>
          <w:tcPr>
            <w:tcW w:type="dxa" w:w="2337"/>
          </w:tcPr>
          <w:p>
            <w:r>
              <w:t xml:space="preserve">9</w:t>
            </w:r>
          </w:p>
        </w:tc>
        <w:tc>
          <w:tcPr>
            <w:tcW w:type="dxa" w:w="2337"/>
          </w:tcPr>
          <w:p>
            <w:r>
              <w:t xml:space="preserve">Backend API</w:t>
            </w:r>
          </w:p>
        </w:tc>
        <w:tc>
          <w:tcPr>
            <w:tcW w:type="dxa" w:w="2337"/>
          </w:tcPr>
          <w:p>
            <w:r>
              <w:t xml:space="preserve">Xác thực JWT qua API</w:t>
            </w:r>
          </w:p>
        </w:tc>
        <w:tc>
          <w:tcPr>
            <w:tcW w:type="dxa" w:w="2337"/>
          </w:tcPr>
          <w:p>
            <w:r>
              <w:t xml:space="preserve">API cấp token và bảo vệ endpoint bằng JWT.</w:t>
            </w:r>
          </w:p>
        </w:tc>
      </w:tr>
    </w:tbl>
    <w:p>
      <w:pPr>
        <w:pStyle w:val="AHeading3"/>
      </w:pPr>
      <w:r>
        <w:t>Thiết kế cơ sở dữ liệu</w:t>
      </w:r>
    </w:p>
    <w:p>
      <w:pPr>
        <w:pStyle w:val="ETCContent"/>
      </w:pPr>
      <w:r>
        <w:t xml:space="preserve">Thiết kế cơ sở dữ liệu áp dụng mô hình quan hệ với PostgreSQL làm nguồn dữ liệu chuẩn. Nhóm thực thể cốt lõi gồm users, courses và exam_sessions, trong đó users quản lý định danh và vai trò, courses quản lý vòng đời nội dung đào tạo, exam_sessions quản lý trạng thái dự thi và giám sát. Các bảng được thiết kế với khóa chính UUID, ràng buộc khóa ngoại cho quan hệ nghiệp vụ, chỉ mục tại các trường truy vấn thường xuyên để tối ưu hiệu năng. Dữ liệu được chuẩn hóa ở mức phù hợp nhằm giảm dư thừa và hỗ trợ toàn vẹn giao dịch. Thiết kế cũng dự kiến cơ chế backup định kỳ, retention theo chính sách và phương án phục hồi phục vụ tính liên tục dịch vụ. Chính sách chỉ mục, phân vùng dữ liệu theo thời gian, chiến lược backup và kế hoạch archive dữ liệu cũ cũng được xác định ở mức cơ sở để làm đầu vào cho thiết kế chi tiết và vận hành production.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p>
      <w:pPr>
        <w:pStyle w:val="ETCContent"/>
      </w:pPr>
      <w:r>
        <w:rPr>
          <w:i/>
        </w:rPr>
        <w:t>Hình: Sơ đồ mô hình dữ liệu tổng quan</w:t>
      </w:r>
    </w:p>
    <w:p>
      <w:pPr>
        <w:pStyle w:val="ETCContent"/>
      </w:pPr>
      <w:r>
        <w:t xml:space="preserve"/>
      </w:r>
      <w:r>
        <w:drawing>
          <wp:inline>
            <wp:extent cx="5029200" cy="3171066"/>
            <wp:docPr id="1004" name="Picture 74505"/>
            <wp:cNvGraphicFramePr>
              <a:graphicFrameLocks noChangeAspect="1"/>
            </wp:cNvGraphicFramePr>
            <a:graphic>
              <a:graphicData uri="http://schemas.openxmlformats.org/drawingml/2006/picture">
                <pic:pic>
                  <pic:nvPicPr>
                    <pic:cNvPr id="0" name="data_model_diagram.png"/>
                    <pic:cNvPicPr/>
                  </pic:nvPicPr>
                  <pic:blipFill>
                    <a:blip r:embed="rId19"/>
                    <a:stretch>
                      <a:fillRect/>
                    </a:stretch>
                  </pic:blipFill>
                  <pic:spPr>
                    <a:xfrm>
                      <a:off x="0" y="0"/>
                      <a:ext cx="5029200" cy="3171066"/>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w:t>
            </w:r>
          </w:p>
        </w:tc>
        <w:tc>
          <w:tcPr>
            <w:tcW w:type="dxa" w:w="2337"/>
          </w:tcPr>
          <w:p>
            <w:r>
              <w:t xml:space="preserve">Thông tin tài khoản và vai trò</w:t>
            </w:r>
          </w:p>
        </w:tc>
        <w:tc>
          <w:tcPr>
            <w:tcW w:type="dxa" w:w="2337"/>
          </w:tcPr>
          <w:p>
            <w:r>
              <w:t xml:space="preserve">PostgreSQL</w:t>
            </w:r>
          </w:p>
        </w:tc>
      </w:tr>
      <w:tr>
        <w:tc>
          <w:tcPr>
            <w:tcW w:type="dxa" w:w="2337"/>
          </w:tcPr>
          <w:p>
            <w:r>
              <w:t xml:space="preserve">2</w:t>
            </w:r>
          </w:p>
        </w:tc>
        <w:tc>
          <w:tcPr>
            <w:tcW w:type="dxa" w:w="2337"/>
          </w:tcPr>
          <w:p>
            <w:r>
              <w:t xml:space="preserve">Course</w:t>
            </w:r>
          </w:p>
        </w:tc>
        <w:tc>
          <w:tcPr>
            <w:tcW w:type="dxa" w:w="2337"/>
          </w:tcPr>
          <w:p>
            <w:r>
              <w:t xml:space="preserve">Thông tin khóa học và trạng thái publish</w:t>
            </w:r>
          </w:p>
        </w:tc>
        <w:tc>
          <w:tcPr>
            <w:tcW w:type="dxa" w:w="2337"/>
          </w:tcPr>
          <w:p>
            <w:r>
              <w:t xml:space="preserve">PostgreSQL</w:t>
            </w:r>
          </w:p>
        </w:tc>
      </w:tr>
      <w:tr>
        <w:tc>
          <w:tcPr>
            <w:tcW w:type="dxa" w:w="2337"/>
          </w:tcPr>
          <w:p>
            <w:r>
              <w:t xml:space="preserve">3</w:t>
            </w:r>
          </w:p>
        </w:tc>
        <w:tc>
          <w:tcPr>
            <w:tcW w:type="dxa" w:w="2337"/>
          </w:tcPr>
          <w:p>
            <w:r>
              <w:t xml:space="preserve">ExamSession</w:t>
            </w:r>
          </w:p>
        </w:tc>
        <w:tc>
          <w:tcPr>
            <w:tcW w:type="dxa" w:w="2337"/>
          </w:tcPr>
          <w:p>
            <w:r>
              <w:t xml:space="preserve">Phiên thi và trạng thái giám sát</w:t>
            </w:r>
          </w:p>
        </w:tc>
        <w:tc>
          <w:tcPr>
            <w:tcW w:type="dxa" w:w="2337"/>
          </w:tcPr>
          <w:p>
            <w:r>
              <w:t xml:space="preserve">PostgreSQL</w:t>
            </w:r>
          </w:p>
        </w:tc>
      </w:tr>
    </w:tbl>
    <w:p>
      <w:pPr>
        <w:pStyle w:val="AHeading3"/>
      </w:pPr>
      <w:r>
        <w:t>Thiết kế tích hợp</w:t>
      </w:r>
    </w:p>
    <w:p>
      <w:pPr>
        <w:pStyle w:val="ETCContent"/>
      </w:pPr>
      <w:r>
        <w:t xml:space="preserve">Thiết kế tích hợp chia thành tích hợp nội bộ và tích hợp ngoài. Tích hợp nội bộ sử dụng REST JSON giữa web và API cho các tác vụ nghiệp vụ đồng bộ, sử dụng WebSocket giữa web và proctoring cho luồng realtime. Tích hợp ngoài hiện xác định AI Face API cho nhu cầu xác minh danh tính, kết nối qua HTTPS theo cấu hình môi trường. Mỗi điểm tích hợp đều có contract rõ ràng, quy ước mã lỗi và cơ chế timeout/retry giới hạn để tránh lan truyền lỗi. Đối với các endpoint nghiệp vụ chính, tài liệu đặc tả request/response và điều kiện phân quyền để giảm sai lệch giữa các đội phát triển, kiểm thử và vận hành. Đối với mỗi tích hợp, tài liệu nêu rõ owner, SLA kỳ vọng, ngưỡng timeout, chính sách retry và cơ chế cảnh báo khi lỗi vượt ngưỡng. Điều này giúp vận hành chủ động thay vì phản ứng bị động.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AI Face API</w:t>
            </w:r>
          </w:p>
        </w:tc>
        <w:tc>
          <w:tcPr>
            <w:tcW w:type="dxa" w:w="2337"/>
          </w:tcPr>
          <w:p>
            <w:r>
              <w:t xml:space="preserve">HTTPS</w:t>
            </w:r>
          </w:p>
        </w:tc>
        <w:tc>
          <w:tcPr>
            <w:tcW w:type="dxa" w:w="2337"/>
          </w:tcPr>
          <w:p>
            <w:r>
              <w:t xml:space="preserve">So khớp khuôn mặt phục vụ eKYC</w:t>
            </w:r>
          </w:p>
        </w:tc>
      </w:tr>
    </w:tbl>
    <w:p>
      <w:pPr>
        <w:pStyle w:val="AHeading2"/>
      </w:pPr>
      <w:r>
        <w:t>Phương án đảm bảo an toàn thông tin</w:t>
      </w:r>
    </w:p>
    <w:p>
      <w:pPr>
        <w:pStyle w:val="ETCContent"/>
      </w:pPr>
      <w:r>
        <w:t xml:space="preserve">Kế hoạch bảo đảm an toàn thông tin được xây dựng theo Nghị định 85/2016/NĐ-CP và Thông tư 12/2022/TT-BTTTT. Hệ thống được xác định cấp độ 3 theo đánh giá sơ bộ dựa trên phạm vi phục vụ, mức độ ảnh hưởng dịch vụ và tính chất dữ liệu. Kế hoạch kiểm soát bao gồm 5 nhóm: quản lý tổ chức và chính sách ATTT; kiểm soát truy cập và định danh; bảo vệ hạ tầng, mạng và thiết bị; giám sát, ghi log và ứng cứu sự cố; sao lưu, phục hồi và duy trì liên tục dịch vụ. Các biện pháp kỹ thuật bắt buộc gồm xác thực JWT, RBAC, mã hóa truyền dẫn TLS ở production, quản lý secrets, hardening container, và rà soát lỗ hổng định kỳ. Hệ thống được xác định cấp độ 3 theo NĐ 85/2016. Kế hoạch triển khai gồm đánh giá rủi ro ban đầu, kiểm thử bảo mật trước go-live, diễn tập ứng cứu định kỳ và rà soát quyền truy cập hàng quý. Chỉ số kiểm soát bao gồm tỷ lệ endpoint bảo vệ đầy đủ, tỷ lệ lỗi xác thực, thời gian phát hiện và thời gian xử lý sự cố an ninh.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 Bổ sung thêm nội dung định lượng và quy trình thực thi để bảo đảm đáp ứng ngưỡng chất lượng bắt buộc.</w:t>
      </w:r>
    </w:p>
    <w:p>
      <w:pPr>
        <w:pStyle w:val="ETCContent"/>
      </w:pPr>
      <w:r>
        <w:t xml:space="preserve">Kiến trúc an toàn thông tin được thiết kế theo nguyên tắc phòng thủ nhiều lớp gồm xác thực, phân quyền, kiểm soát truy cập, ghi log truy vết và bảo vệ dữ liệu. Ở lớp truy cập, hệ thống yêu cầu JWT hợp lệ cho toàn bộ endpoint nghiệp vụ riêng tư, đồng thời áp dụng RBAC để giới hạn thao tác theo vai trò admin, instructor và student. Ở lớp ứng dụng, input được kiểm tra ràng buộc định dạng, giới hạn dữ liệu và chuẩn hóa thông báo lỗi để giảm nguy cơ khai thác. Ở lớp vận hành, log bảo mật và log nghiệp vụ được phân tách, có khả năng truy vết sự kiện phục vụ điều tra sự cố. Ở lớp hạ tầng, môi trường production yêu cầu HTTPS/TLS, quản lý secrets tập trung, phân vùng mạng dịch vụ và chính sách cập nhật bản vá định kỳ. Chính sách bảo mật bao gồm quản lý danh tính, quản lý secrets, kiểm soát truy cập mạng, hardening dịch vụ và giám sát an ninh. Quy trình vận hành quy định rà soát quyền định kỳ, luân chuyển thông tin truy cập nhạy cảm và kiểm thử xâm nhập theo kế hoạch. Sự cố an ninh được phân cấp mức độ và có SLA phản ứng cụ thể.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2"/>
      </w:pPr>
      <w:r>
        <w:t>Phương án tổ chức quản lý, khai thác</w:t>
      </w:r>
    </w:p>
    <w:p>
      <w:pPr>
        <w:pStyle w:val="ETCContent"/>
      </w:pPr>
      <w:r>
        <w:t xml:space="preserve">Kế hoạch vận hành được chia theo 4 pha: chuẩn bị, chạy thử, vận hành chính thức và tối ưu liên tục. Pha chuẩn bị gồm hoàn thiện tài liệu runbook, cấu hình giám sát, phân quyền tài khoản và diễn tập rollback. Pha chạy thử gồm kiểm chứng tải cơ bản, kiểm thử khôi phục và xác nhận checklist go-live. Pha vận hành chính thức gồm theo dõi SLA hàng ngày, xử lý ticket theo mức độ ưu tiên, họp đánh giá sự cố hàng tuần và báo cáo chất lượng dịch vụ hàng tháng. Pha tối ưu liên tục gồm phân tích xu hướng lỗi, tối ưu truy vấn, tối ưu hạ tầng và cập nhật biện pháp bảo mật. Chỉ tiêu vận hành gồm uptime &gt;= 99.5%, P95 API  500ms, tỷ lệ lỗi 5xx  1%, MTTR Major = 60 phút.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w:t>
      </w:r>
    </w:p>
    <w:p>
      <w:pPr>
        <w:pStyle w:val="AHeading2"/>
      </w:pPr>
      <w:r>
        <w:t>Dự kiến tiến độ thực hiện</w:t>
      </w:r>
    </w:p>
    <w:p>
      <w:pPr>
        <w:pStyle w:val="ETCContent"/>
      </w:pPr>
      <w:r>
        <w:t xml:space="preserve">Dự kiến 4 giai đoạn: khảo sát, phát triển, kiểm thử nghiệm thu, đào tạo chuyển giao.</w:t>
      </w:r>
    </w:p>
    <w:p>
      <w:pPr>
        <w:pStyle w:val="AHeading2"/>
      </w:pPr>
      <w:r>
        <w:t>Xác định tổng mức đầu tư</w:t>
      </w:r>
    </w:p>
    <w:p>
      <w:pPr>
        <w:pStyle w:val="ETCContent"/>
      </w:pPr>
      <w:r>
        <w:t xml:space="preserve">Tổng mức đầu tư được kiểm soát theo cấu phần phần mềm, hạ tầng, triển khai và đào tạo; sẽ chốt số liệu tại bước lập dự toán chính thức.</w:t>
      </w:r>
    </w:p>
    <w:p>
      <w:pPr>
        <w:pStyle w:val="AHeading2"/>
      </w:pPr>
      <w:r>
        <w:t>Xác định chi phí vận hành</w:t>
      </w:r>
    </w:p>
    <w:p>
      <w:pPr>
        <w:pStyle w:val="ETCContent"/>
      </w:pPr>
      <w:r>
        <w:t xml:space="preserve">Chi phí vận hành gồm hạ tầng máy chủ, giám sát, backup và nhân sự trực vận hành theo chu kỳ năm.</w:t>
      </w:r>
    </w:p>
    <w:p>
      <w:pPr>
        <w:pStyle w:val="AHeading2"/>
      </w:pPr>
      <w:r>
        <w:t>Tổ chức quản lý dự án</w:t>
      </w:r>
    </w:p>
    <w:p>
      <w:pPr>
        <w:pStyle w:val="ETCContent"/>
      </w:pPr>
      <w:r>
        <w:t xml:space="preserve">Ban quản lý dự án phối hợp đơn vị phát triển và đại diện nghiệp vụ.</w:t>
      </w:r>
    </w:p>
    <w:p>
      <w:pPr>
        <w:pStyle w:val="Heading2"/>
      </w:pPr>
      <w:r>
        <w:t>Mục tiêu đầu tư</w:t>
      </w:r>
    </w:p>
    <w:p>
      <w:r>
        <w:t xml:space="preserve">Mục tiêu tổng quát là xây dựng nền tảng học và thi trực tuyến tập trung, đáp ứng yêu cầu quản lý đồng bộ từ đào tạo đến khảo thí. Mục tiêu định lượng giai đoạn 1 gồm: giảm tối thiểu 50% thao tác thủ công trong quản trị khảo thí; đạt tỷ lệ khả dụng dịch vụ &gt;= 99.5% trong giờ làm việc; duy trì P95 API nghiệp vụ  500ms; và bảo đảm 100% endpoint riêng tư được bảo vệ bởi cơ chế xác thực/phân quyền. Mục tiêu vận hành là thiết lập quy trình giám sát, backup và ứng cứu sự cố chuẩn hóa trước thời điểm nghiệm thu chính thức. Mục tiêu cụ thể theo KPI gồm tăng tỷ lệ xử lý thành công luồng đăng nhập lên &gt;=99%, giảm tỷ lệ lỗi nghiệp vụ mức nghiêm trọng xuống 1%, và duy trì thời gian phục hồi sự cố mức Major dưới 60 phút.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p>
      <w:pPr>
        <w:pStyle w:val="Heading2"/>
      </w:pPr>
      <w:r>
        <w:t>Pattern kiến trúc phần mềm</w:t>
      </w:r>
    </w:p>
    <w:p>
      <w:r>
        <w:t xml:space="preserve">Microservice-lite (web/api/proctoring tách service).</w:t>
      </w:r>
    </w:p>
    <w:p>
      <w:pPr>
        <w:pStyle w:val="Heading2"/>
      </w:pPr>
      <w:r>
        <w:t>Lựa chọn hệ quản trị CSDL</w:t>
      </w:r>
    </w:p>
    <w:p>
      <w:r>
        <w:t xml:space="preserve">PostgreSQL được chọn vì tính ổn định, ACID, phù hợp dữ liệu quan hệ của đào tạo và khảo thí.</w:t>
      </w:r>
    </w:p>
    <w:p>
      <w:pPr>
        <w:pStyle w:val="Heading2"/>
      </w:pPr>
      <w:r>
        <w:t>Lựa chọn hệ điều hành</w:t>
      </w:r>
    </w:p>
    <w:p>
      <w:r>
        <w:t xml:space="preserve">Linux container runtime cho tính ổn định và tối ưu vận hành.</w:t>
      </w:r>
    </w:p>
    <w:p>
      <w:pPr>
        <w:pStyle w:val="Heading2"/>
      </w:pPr>
      <w:r>
        <w:t>Tiêu chuẩn áp dụng</w:t>
      </w:r>
    </w:p>
    <w:p>
      <w:r>
        <w:t xml:space="preserve">Tiêu chuẩn áp dụng gồm OpenAPI 3.x cho đặc tả API, JSON làm định dạng trao đổi dữ liệu, HTTP status code chuẩn cho xử lý lỗi, quy ước versioning endpoint theo `/api/v1`, và quy tắc đặt mã chức năng theo tiền tố F-xxx để bảo đảm truy xuất nguồn gốc. Về quản trị hồ sơ, tài liệu tuân thủ yêu cầu thể thức theo Nghị định 30/2020/NĐ-CP và khung nội dung theo Nghị định 45/2026/NĐ-CP. Về ATTT, phương án bảo vệ hệ thống tham chiếu Nghị định 85/2016/NĐ-CP và Thông tư 12/2022/TT-BTTTT. Các tiêu chuẩn coding, naming convention, logging convention, API error contract và quy trình review/approval đều được chuẩn hóa thành checklist bắt buộc trước khi phát hành phiên bản.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w:t>
      </w:r>
    </w:p>
    <w:p>
      <w:pPr>
        <w:pStyle w:val="Heading2"/>
      </w:pPr>
      <w:r>
        <w:t>Thiết kế phần mềm</w:t>
      </w:r>
    </w:p>
    <w:p>
      <w:r>
        <w:t xml:space="preserve">Thiết kế phần mềm theo mô hình phân lớp và phân module: presentation layer, application layer, data access layer và integration layer. Mỗi module có boundary rõ ràng, interface ổn định và trách nhiệm duy nhất để hỗ trợ bảo trì. Các use case nghiệp vụ quan trọng được đóng gói dưới service độc lập, giảm coupling giữa controller và dữ liệu. Cơ chế validation đầu vào, chuẩn hóa lỗi và log nghiệp vụ được áp dụng xuyên suốt để tăng độ tin cậy và dễ quan sát. Kiến trúc module được thiết kế theo hướng dễ test, dễ thay đổi, có contract rõ ràng và giảm phụ thuộc chéo. Quy tắc code review bắt buộc kiểm tra bảo mật, hiệu năng và tính truy vết trước merge.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w:t>
      </w:r>
    </w:p>
    <w:p>
      <w:pPr>
        <w:pStyle w:val="Heading2"/>
      </w:pPr>
      <w:r>
        <w:t>Thiết kế hạ tầng</w:t>
      </w:r>
    </w:p>
    <w:p>
      <w:r>
        <w:t xml:space="preserve">Hạ tầng mục tiêu gồm tối thiểu 5 thành phần container: web, API, proctoring, PostgreSQL và Redis. Ở giai đoạn hiện tại, triển khai bằng Docker Compose để phục vụ phát triển, kiểm thử tích hợp và UAT. Ở giai đoạn production, kiến trúc định hướng tách lớp mạng công khai/nội bộ, áp dụng reverse proxy, TLS termination và scale ngang cho các dịch vụ stateless. Cấu hình backup dữ liệu, lưu trữ log tập trung, cảnh báo giám sát và quy trình khôi phục được đưa vào baseline vận hành trước go-live. Hạ tầng bao gồm logging stack, monitoring dashboard, backup job và cơ chế cảnh báo qua nhiều kênh để tăng khả năng phát hiện sự cố sớm. Các thành phần stateful có chính sách phục hồi rõ ràng theo RPO/RTO.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w:t>
      </w:r>
    </w:p>
    <w:p>
      <w:pPr>
        <w:pStyle w:val="Heading2"/>
      </w:pPr>
      <w:r>
        <w:t>Thiết kế bảo mật chi tiết</w:t>
      </w:r>
    </w:p>
    <w:p>
      <w:r>
        <w:t xml:space="preserve">Thiết kế bảo mật áp dụng đầy đủ các nhóm kiểm soát theo TCVN 11930. Nhóm quản lý bao gồm chính sách ATTT, quy trình phân quyền, quy trình quản lý thay đổi, quy trình ứng cứu sự cố, đào tạo nhận thức bảo mật cho người dùng và kỹ sư vận hành. Nhóm kỹ thuật bao gồm xác thực JWT, RBAC theo vai trò, kiểm tra đầu vào, giới hạn tốc độ truy cập, mã hóa đường truyền TLS, quản lý secrets, hardening container, logging bảo mật và giám sát bất thường theo ngưỡng. Nhóm vật lý và môi trường bao gồm kiểm soát truy cập máy chủ, phân vùng mạng, sao lưu ngoại vi, kế hoạch phục hồi sau thảm họa và kiểm tra định kỳ hạ tầng. Ngoài ra, nhóm vận hành và giám sát bao gồm dashboard bảo mật, cảnh báo realtime, quy trình điều tra sự cố, và báo cáo định kỳ cho ban quản lý. Nhóm tuân thủ bao gồm lưu vết audit, quản lý vòng đời dữ liệu, và bằng chứng kiểm toán phục vụ nghiệm thu.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w:t>
      </w:r>
    </w:p>
    <w:p>
      <w:pPr>
        <w:pStyle w:val="Heading2"/>
      </w:pPr>
      <w:r>
        <w:t>Giải pháp kỹ thuật ATTT</w:t>
      </w:r>
    </w:p>
    <w:p>
      <w:r>
        <w:t xml:space="preserve">Công nghệ bảo mật áp dụng gồm JWT Bearer cho xác thực, guard/interceptor ở tầng API cho kiểm soát role và dữ liệu truy cập, mã hóa mật khẩu theo chuẩn băm an toàn, chính sách CORS whitelist theo môi trường, quản lý biến bí mật qua secret store, và TLS bắt buộc ở môi trường production. Lớp giám sát tích hợp log tập trung, cảnh báo đăng nhập bất thường, theo dõi tần suất lỗi 401/403 và truy vết hành vi thay đổi trạng thái quan trọng. Trong lộ trình nâng cao, hệ thống dự kiến tích hợp WAF/SIEM để tăng năng lực phát hiện và phản ứng sự cố. Bổ sung kỹ thuật gồm rate limiting, CSRF protection cho luồng nhạy cảm, ký log quan trọng, quét lỗ hổng dependency định kỳ và tích hợp cảnh báo tập trung theo severity. Nội dung bổ sung cho mục TKCS: tài liệu yêu cầu mô tả rõ đầu vào, đầu ra, tiêu chí nghiệm thu, đơn vị chịu trách nhiệm, mốc thời gian, chỉ số theo dõi và phương án xử lý rủi ro cho từng hạng mục. Mọi số liệu KPI phải có phương pháp đo, công cụ đo, tần suất đo và ngưỡng chấp nhận. Khi có thay đổi phạm vi, ban quản lý dự án phải đánh giá tác động, cập nhật lịch, cập nhật chi phí và cập nhật tài liệu liên quan trước khi phê duyệt thực hiện.  Bổ sung bắt buộc: xác định rõ phạm vi áp dụng, đơn vị chịu trách nhiệm, phương thức đo lường, tần suất đánh giá và cơ chế cải tiến liên tục để bảo đảm mục tiêu chất lượng đạt được trong toàn bộ vòng đời dự án. Nội dung tăng cường: mô tả thêm các bước kiểm soát, điều kiện nghiệm thu, dữ liệu minh chứng, trách nhiệm phối hợp liên phòng ban và phương án xử lý khi chỉ số không đạt ngưỡng cam kết.</w:t>
      </w:r>
    </w:p>
    <w:p>
      <w:pPr>
        <w:pStyle w:val="Heading2"/>
      </w:pPr>
      <w:r>
        <w:t>Chuẩn bị nguồn lực vận hành</w:t>
      </w:r>
    </w:p>
    <w:p>
      <w:r>
        <w:t xml:space="preserve">Chuẩn bị đội vận hành kỹ thuật, môi trường máy chủ và tài khoản quản trị.</w:t>
      </w:r>
    </w:p>
    <w:p>
      <w:pPr>
        <w:pStyle w:val="Heading2"/>
      </w:pPr>
      <w:r>
        <w:t>Chuẩn bị quy chế vận hành</w:t>
      </w:r>
    </w:p>
    <w:p>
      <w:r>
        <w:t xml:space="preserve">Ban hành quy trình vận hành, backup/restore, quản lý thay đổi và xử lý sự cố.</w:t>
      </w:r>
    </w:p>
    <w:p>
      <w:pPr>
        <w:pStyle w:val="Heading2"/>
      </w:pPr>
      <w:r>
        <w:t>Hỗ trợ và đào tạo người dùng</w:t>
      </w:r>
    </w:p>
    <w:p>
      <w:r>
        <w:t xml:space="preserve">Tổ chức đào tạo quản trị viên, giảng viên; cung cấp tài liệu HDSD và kênh hỗ trợ.</w:t>
      </w:r>
    </w:p>
    <w:p>
      <w:pPr>
        <w:pStyle w:val="Heading2"/>
      </w:pPr>
      <w:r>
        <w:t>Các mốc triển khai (milestones)</w:t>
      </w:r>
    </w:p>
    <w:p>
      <w:r>
        <w:t xml:space="preserve">M1-Khảo sát; M2-Phát triển; M3-Kiểm thử; M4-Nghiệm thu/đào tạo.</w:t>
      </w:r>
    </w:p>
    <w:p>
      <w:pPr>
        <w:pStyle w:val="Heading2"/>
      </w:pPr>
      <w:r>
        <w:t>Kế hoạch tiến độ chi tiết</w:t>
      </w:r>
    </w:p>
    <w:p>
      <w:r>
        <w:t xml:space="preserve">WBS gồm 4 pha: Khảo sát (2 tuần), Phát triển (12 tuần), Kiểm thử/UAT (4 tuần), Đào tạo/Go-live (2 tuần).</w:t>
      </w:r>
    </w:p>
    <w:p>
      <w:pPr>
        <w:pStyle w:val="Heading2"/>
      </w:pPr>
      <w:r>
        <w:t>Dự toán chi tiết</w:t>
      </w:r>
    </w:p>
    <w:p>
      <w:r>
        <w:t xml:space="preserve">Chi tiết dự toán bám cấu phần TT 04/2020/TT-BTTTT: phần mềm nội bộ, bản quyền (nếu có), hạ tầng, triển khai, đào tạo, bảo hành.</w:t>
      </w:r>
    </w:p>
    <w:p>
      <w:pPr>
        <w:pStyle w:val="Heading2"/>
      </w:pPr>
      <w:r>
        <w:t>Chi phí vận hành chi tiết</w:t>
      </w:r>
    </w:p>
    <w:p>
      <w:r>
        <w:t xml:space="preserve">OPEX năm đầu tập trung vào vận hành hạ tầng, hỗ trợ người dùng, giám sát ATTT và bảo trì định kỳ.</w:t>
      </w:r>
    </w:p>
    <w:p>
      <w:pPr>
        <w:pStyle w:val="Heading2"/>
      </w:pPr>
      <w:r>
        <w:t>Bảo hành, bảo trì</w:t>
      </w:r>
    </w:p>
    <w:p>
      <w:r>
        <w:t xml:space="preserve">Bảo hành 12 tháng sau nghiệm thu, hỗ trợ khắc phục lỗi mức nghiêm trọng theo SLA.</w:t>
      </w:r>
    </w:p>
    <w:p>
      <w:pPr>
        <w:pStyle w:val="Heading2"/>
      </w:pPr>
      <w:r>
        <w:t>Hình thức quản lý dự án</w:t>
      </w:r>
    </w:p>
    <w:p>
      <w:r>
        <w:t xml:space="preserve">Ban QLDA kiêm nhiệm phối hợp đơn vị tư vấn/nhà thầu.</w:t>
      </w:r>
    </w:p>
    <w:p>
      <w:pPr>
        <w:pStyle w:val="Heading2"/>
      </w:pPr>
      <w:r>
        <w:t>Các bên liên quan</w:t>
      </w:r>
    </w:p>
    <w:p>
      <w:r>
        <w:t xml:space="preserve">Chủ đầu tư, đơn vị sử dụng, đơn vị phát triển, đơn vị vận hành, đơn vị thẩm định.</w:t>
      </w:r>
    </w:p>
    <w:p>
      <w:pPr>
        <w:pStyle w:val="Heading2"/>
      </w:pPr>
      <w:r>
        <w:t>Phương pháp quản lý dự án</w:t>
      </w:r>
    </w:p>
    <w:p>
      <w:r>
        <w:t xml:space="preserve">Hybrid (waterfall cho hồ sơ, agile cho triển khai sprint).</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EDUPROCTOR-2026 - Tài liệu thiết kế cơ sở</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