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24/04/2026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EDUPROCTOR - ONLINE LEARNING  PROCTORED EXAMINATION PLATFORM</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EduProctor - Online Learning  Proctored Examination Platform</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24/04/2026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Mục tiêu kiến trúc của nền tảng EduProctor là hình thành một hệ thống học trực tuyến và khảo thí có giám sát theo định hướng dịch vụ, bảo đảm đồng thời ba yêu cầu: đáp ứng nghiệp vụ đào tạo thường xuyên, kiểm soát chất lượng thi cử và sẵn sàng mở rộng quy mô người dùng. Kiến trúc được thiết kế để phục vụ ít nhất ba nhóm người dùng chính gồm học viên, giảng viên và quản trị viên, với các hành trình nghiệp vụ liên thông từ đăng nhập, học tập, tham gia kỳ thi đến giám sát và hậu kiểm. Cách tiếp cận kiến trúc ưu tiên API-first, chuẩn hóa dữ liệu và tách lớp xử lý realtime để giảm phụ thuộc giữa các thành phần, hỗ trợ triển khai theo giai đoạn, vận hành ổn định và kiểm soát rủi ro kỹ thuật trong suốt vòng đời hệ thống. Kiến trúc còn đặt mục tiêu chuẩn hóa quản trị thay đổi, rút ngắn thời gian triển khai phiên bản mới, tăng khả năng kiểm thử tự động và giảm thiểu lỗi hồi quy. Trong kế hoạch 12 tháng, hệ thống cần duy trì ổn định khi số lượng khóa học tăng gấp 3 lần và số phiên thi đồng thời tăng gấp 2 lần. Việc chuẩn hóa kiến trúc ngay từ giai đoạn thiết kế giúp đảm bảo khả năng duy trì lâu dài, hỗ trợ chuyển giao vận hành và giảm chi phí nâng cấp.</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kiến trúc bao phủ toàn bộ thành phần cốt lõi của giải pháp gồm giao diện web cho người dùng cuối, backend API phục vụ nghiệp vụ, dịch vụ proctoring thời gian thực, hệ quản trị cơ sở dữ liệu quan hệ và lớp cache hiệu năng cao. Ở lớp nghiệp vụ, phạm vi xử lý gồm xác thực và phân quyền, quản lý khóa học, quản lý kỳ thi, điều phối phiên thi, ghi nhận trạng thái giám sát và truy vết sự kiện phục vụ hậu kiểm. Ở lớp kỹ thuật, phạm vi bao gồm mô hình triển khai container, cơ chế tích hợp nội bộ và bên ngoài, chính sách bảo mật, nguyên tắc vận hành và chỉ tiêu chất lượng dịch vụ. Các nội dung ngoài phạm vi giai đoạn này là tích hợp thanh toán, mobile app native và báo cáo phân tích nâng cao bằng kho dữ liệu chuyên biệt. Phạm vi quản trị cũng bao gồm cơ chế logging tập trung, chuẩn hóa thông điệp lỗi, cơ chế healthcheck, backup/restore và tích hợp giám sát để bảo đảm đáp ứng các chỉ số dịch vụ. Mỗi thành phần đều có ranh giới trách nhiệm rõ ràng nhằm hạn chế tác động chéo khi thay đổi.</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thao tác cho người dùng cuối</w:t>
            </w:r>
          </w:p>
        </w:tc>
      </w:tr>
      <w:tr>
        <w:tc>
          <w:tcPr>
            <w:tcW w:type="dxa" w:w="1800"/>
          </w:tcPr>
          <w:p>
            <w:r>
              <w:t xml:space="preserve">TKKT</w:t>
            </w:r>
          </w:p>
        </w:tc>
        <w:tc>
          <w:tcPr>
            <w:tcW w:type="dxa" w:w="2700"/>
          </w:tcPr>
          <w:p>
            <w:r>
              <w:t xml:space="preserve">Thiết kế kiến trúc</w:t>
            </w:r>
          </w:p>
        </w:tc>
        <w:tc>
          <w:tcPr>
            <w:tcW w:type="dxa" w:w="4500"/>
          </w:tcPr>
          <w:p>
            <w:r>
              <w:t xml:space="preserve">Tài liệu mô tả kiến trúc tổng thể hệ thống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cơ sở theo quy định</w:t>
            </w:r>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chi tiết module, API, CSDL</w:t>
            </w:r>
          </w:p>
        </w:tc>
      </w:tr>
      <w:tr>
        <w:tc>
          <w:tcPr>
            <w:tcW w:type="dxa" w:w="1800"/>
          </w:tcPr>
          <w:p>
            <w:r>
              <w:t xml:space="preserve">RBAC</w:t>
            </w:r>
          </w:p>
        </w:tc>
        <w:tc>
          <w:tcPr>
            <w:tcW w:type="dxa" w:w="2700"/>
          </w:tcPr>
          <w:p>
            <w:r>
              <w:t xml:space="preserve">Role-based access control</w:t>
            </w:r>
          </w:p>
        </w:tc>
        <w:tc>
          <w:tcPr>
            <w:tcW w:type="dxa" w:w="4500"/>
          </w:tcPr>
          <w:p>
            <w:r>
              <w:t xml:space="preserve">Phân quyền theo vai trò người dùng</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README.md</w:t>
            </w:r>
          </w:p>
        </w:tc>
        <w:tc>
          <w:tcPr>
            <w:tcW w:type="dxa" w:w="4500"/>
          </w:tcPr>
          <w:p>
            <w:r>
              <w:t xml:space="preserve">D:/Projects/lms/README.md</w:t>
            </w:r>
          </w:p>
        </w:tc>
      </w:tr>
      <w:tr>
        <w:tc>
          <w:tcPr>
            <w:tcW w:type="dxa" w:w="1800"/>
          </w:tcPr>
          <w:p>
            <w:r>
              <w:t xml:space="preserve">2</w:t>
            </w:r>
          </w:p>
        </w:tc>
        <w:tc>
          <w:tcPr>
            <w:tcW w:type="dxa" w:w="2700"/>
          </w:tcPr>
          <w:p>
            <w:r>
              <w:t xml:space="preserve">LOGIN_GUIDE.md</w:t>
            </w:r>
          </w:p>
        </w:tc>
        <w:tc>
          <w:tcPr>
            <w:tcW w:type="dxa" w:w="4500"/>
          </w:tcPr>
          <w:p>
            <w:r>
              <w:t xml:space="preserve">D:/Projects/lms/LOGIN_GUIDE.md</w:t>
            </w:r>
          </w:p>
        </w:tc>
      </w:tr>
      <w:tr>
        <w:tc>
          <w:tcPr>
            <w:tcW w:type="dxa" w:w="1800"/>
          </w:tcPr>
          <w:p>
            <w:r>
              <w:t xml:space="preserve">3</w:t>
            </w:r>
          </w:p>
        </w:tc>
        <w:tc>
          <w:tcPr>
            <w:tcW w:type="dxa" w:w="2700"/>
          </w:tcPr>
          <w:p>
            <w:r>
              <w:t xml:space="preserve">ADMIN_GUIDE.md</w:t>
            </w:r>
          </w:p>
        </w:tc>
        <w:tc>
          <w:tcPr>
            <w:tcW w:type="dxa" w:w="4500"/>
          </w:tcPr>
          <w:p>
            <w:r>
              <w:t xml:space="preserve">D:/Projects/lms/ADMIN_GUIDE.md</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EduProctor vận hành theo mô hình nhiều lớp: lớp nghiệp vụ người dùng tại web frontend (Next.js), lớp dịch vụ nghiệp vụ tại API (NestJS), lớp truyền thông realtime cho giám sát thi (Fastify WebSocket), lớp dữ liệu giao dịch tại PostgreSQL và lớp tăng tốc truy xuất tại Redis. Người dùng truy cập hệ thống thông qua web, gửi yêu cầu REST tới API để xử lý đăng nhập, học tập, quản lý khóa học và khảo thí; riêng trong ngữ cảnh thi trực tuyến, trình duyệt đồng thời mở kênh WebSocket tới dịch vụ proctoring để nhận và gửi sự kiện theo thời gian thực. API đóng vai trò điều phối trung tâm, chịu trách nhiệm xác thực JWT, kiểm tra RBAC, chuẩn hóa response và ghi log nghiệp vụ. Dữ liệu lâu dài được lưu nhất quán ở PostgreSQL, trong khi Redis phục vụ cache dữ liệu đọc nhiều và trạng thái ngắn hạn nhằm giảm độ trễ các thao tác lặp lại. Luồng dữ liệu chính được kiểm soát qua các tầng xác thực và phân quyền trước khi chạm vào dữ liệu nghiệp vụ. Luồng sự kiện realtime được tách khỏi luồng giao dịch để hạn chế ảnh hưởng khi đột biến tải. Hệ thống áp dụng nguyên tắc stateless cho dịch vụ web và API, giúp scale ngang theo nhu cầu và đơn giản hóa quá trình khôi phục khi có sự cố. Kiến trúc cũng chuẩn bị cho tích hợp observability với các chỉ số latency, error rate, throughput để phục vụ vận hành liên tục.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kiến trúc tổng thể</w:t>
      </w:r>
    </w:p>
    <w:p>
      <w:pPr>
        <w:pStyle w:val="ETCContent"/>
      </w:pPr>
      <w:r>
        <w:t xml:space="preserve"/>
      </w:r>
      <w:r>
        <w:drawing>
          <wp:inline>
            <wp:extent cx="5029200" cy="2016660"/>
            <wp:docPr id="1003" name="Picture 74505"/>
            <wp:cNvGraphicFramePr>
              <a:graphicFrameLocks noChangeAspect="1"/>
            </wp:cNvGraphicFramePr>
            <a:graphic>
              <a:graphicData uri="http://schemas.openxmlformats.org/drawingml/2006/picture">
                <pic:pic>
                  <pic:nvPicPr>
                    <pic:cNvPr id="0" name="architecture_diagram.png"/>
                    <pic:cNvPicPr/>
                  </pic:nvPicPr>
                  <pic:blipFill>
                    <a:blip r:embed="rId18"/>
                    <a:stretch>
                      <a:fillRect/>
                    </a:stretch>
                  </pic:blipFill>
                  <pic:spPr>
                    <a:xfrm>
                      <a:off x="0" y="0"/>
                      <a:ext cx="5029200" cy="2016660"/>
                    </a:xfrm>
                    <a:prstGeom prst="rect"/>
                  </pic:spPr>
                </pic:pic>
              </a:graphicData>
            </a:graphic>
          </wp:inline>
        </w:drawing>
      </w:r>
      <w:r>
        <w:t xml:space="preserve"/>
      </w:r>
    </w:p>
    <w:p>
      <w:pPr>
        <w:pStyle w:val="AHeading3"/>
      </w:pPr>
      <w:r>
        <w:t>Phạm vi và đối tượng</w:t>
      </w:r>
    </w:p>
    <w:p>
      <w:pPr>
        <w:pStyle w:val="ETCContent"/>
      </w:pPr>
      <w:r>
        <w:t xml:space="preserve">Bản phát hành hiện tại tập trung vào các capability có tác động trực tiếp đến vận hành đào tạo và khảo thí: xác thực tài khoản và phân quyền theo vai trò; quản lý vòng đời khóa học từ tạo mới đến publish/unpublish; điều phối truy cập trung tâm khảo thí và luồng eKYC trước khi thi; mở và giám sát phiên thi trực tuyến có kết nối realtime; truy xuất dữ liệu chi tiết kỳ thi phục vụ màn hình và API nghiệp vụ. Trong phạm vi này, hệ thống được triển khai trên môi trường container hóa, có mô tả rõ ràng về cổng dịch vụ, phụ thuộc thành phần và các điểm tích hợp nội bộ. Các hạng mục chưa nằm trong release scope gồm tối ưu autoscaling production, tích hợp đa kênh thông báo và cơ chế phân tích chống gian lận nâng cao theo mô hình học máy. Trong giai đoạn mở rộng, phạm vi có thể bổ sung mobile client, báo cáo phân tích nâng cao, kết nối cổng danh mục tập trung và cơ chế chống gian lận dựa trên mô hình học máy. Mọi mở rộng phải tuân thủ nguyên tắc tương thích ngược cho API công khai và có kế hoạch migration rõ ràng.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14</w:t>
            </w:r>
          </w:p>
        </w:tc>
        <w:tc>
          <w:tcPr>
            <w:tcW w:type="dxa" w:w="2337"/>
          </w:tcPr>
          <w:p>
            <w:r>
              <w:t xml:space="preserve">Web UI</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Business API</w:t>
            </w:r>
          </w:p>
        </w:tc>
      </w:tr>
      <w:tr>
        <w:tc>
          <w:tcPr>
            <w:tcW w:type="dxa" w:w="2337"/>
          </w:tcPr>
          <w:p>
            <w:r>
              <w:t xml:space="preserve">Realtime</w:t>
            </w:r>
          </w:p>
        </w:tc>
        <w:tc>
          <w:tcPr>
            <w:tcW w:type="dxa" w:w="2337"/>
          </w:tcPr>
          <w:p>
            <w:r>
              <w:t xml:space="preserve">Fastify + WS</w:t>
            </w:r>
          </w:p>
        </w:tc>
        <w:tc>
          <w:tcPr>
            <w:tcW w:type="dxa" w:w="2337"/>
          </w:tcPr>
          <w:p>
            <w:r>
              <w:t xml:space="preserve">4.x</w:t>
            </w:r>
          </w:p>
        </w:tc>
        <w:tc>
          <w:tcPr>
            <w:tcW w:type="dxa" w:w="2337"/>
          </w:tcPr>
          <w:p>
            <w:r>
              <w:t xml:space="preserve">Proctoring channel</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Transactional data</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Caching/session</w:t>
            </w:r>
          </w:p>
        </w:tc>
      </w:tr>
    </w:tbl>
    <w:p>
      <w:pPr>
        <w:pStyle w:val="AHeading2"/>
      </w:pPr>
      <w:r>
        <w:t>Kiến trúc logic</w:t>
      </w:r>
    </w:p>
    <w:p>
      <w:pPr>
        <w:pStyle w:val="ETCContent"/>
      </w:pPr>
      <w:r>
        <w:t xml:space="preserve">Kiến trúc logic của hệ thống được phân tách thành các miền chức năng rõ ràng để bảo đảm khả năng mở rộng và thay đổi độc lập theo từng nhóm yêu cầu. Miền trình bày bao gồm web interface cho học viên, giảng viên và quản trị viên, chịu trách nhiệm thu thập thao tác người dùng và hiển thị trạng thái. Miền ứng dụng gồm API service và proctoring service, trong đó API xử lý use case nghiệp vụ đồng bộ còn proctoring xử lý sự kiện realtime trong phòng thi. Miền dữ liệu gồm PostgreSQL lưu trạng thái chuẩn hóa dài hạn và Redis lưu dữ liệu truy cập thường xuyên hoặc trạng thái tạm. Luồng điều khiển chính đi từ web đến API bằng REST; luồng giám sát đi từ web đến proctoring bằng WebSocket; cả hai luồng được ràng buộc bởi cơ chế xác thực, phân quyền và quan sát vận hành thống nhất. Từng miền chức năng có contract rõ ràng để hạn chế coupling. Miền authentication chịu trách nhiệm định danh và cấp quyền, miền course chịu trách nhiệm vòng đời khóa học, miền examination chịu trách nhiệm tổ chức thi và trạng thái phiên, miền proctoring chịu trách nhiệm realtime events. Việc phân tách này giúp scale độc lập theo tải thực tế của từng miền và tăng khả năng triển khai song song giữa các đội.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kiến trúc logic</w:t>
      </w:r>
    </w:p>
    <w:p>
      <w:pPr>
        <w:pStyle w:val="ETCContent"/>
      </w:pPr>
      <w:r>
        <w:t xml:space="preserve"/>
      </w:r>
      <w:r>
        <w:drawing>
          <wp:inline>
            <wp:extent cx="5029200" cy="3239721"/>
            <wp:docPr id="1004" name="Picture 74505"/>
            <wp:cNvGraphicFramePr>
              <a:graphicFrameLocks noChangeAspect="1"/>
            </wp:cNvGraphicFramePr>
            <a:graphic>
              <a:graphicData uri="http://schemas.openxmlformats.org/drawingml/2006/picture">
                <pic:pic>
                  <pic:nvPicPr>
                    <pic:cNvPr id="0" name="logical_diagram.png"/>
                    <pic:cNvPicPr/>
                  </pic:nvPicPr>
                  <pic:blipFill>
                    <a:blip r:embed="rId19"/>
                    <a:stretch>
                      <a:fillRect/>
                    </a:stretch>
                  </pic:blipFill>
                  <pic:spPr>
                    <a:xfrm>
                      <a:off x="0" y="0"/>
                      <a:ext cx="5029200" cy="3239721"/>
                    </a:xfrm>
                    <a:prstGeom prst="rect"/>
                  </pic:spPr>
                </pic:pic>
              </a:graphicData>
            </a:graphic>
          </wp:inline>
        </w:drawing>
      </w:r>
      <w:r>
        <w:t xml:space="preserve"/>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w:t>
            </w:r>
          </w:p>
        </w:tc>
        <w:tc>
          <w:tcPr>
            <w:tcW w:type="dxa" w:w="2337"/>
          </w:tcPr>
          <w:p>
            <w:r>
              <w:t xml:space="preserve">frontend</w:t>
            </w:r>
          </w:p>
        </w:tc>
        <w:tc>
          <w:tcPr>
            <w:tcW w:type="dxa" w:w="2337"/>
          </w:tcPr>
          <w:p>
            <w:r>
              <w:t xml:space="preserve">Giao diện học viên/giảng viên</w:t>
            </w:r>
          </w:p>
        </w:tc>
      </w:tr>
      <w:tr>
        <w:tc>
          <w:tcPr>
            <w:tcW w:type="dxa" w:w="2337"/>
          </w:tcPr>
          <w:p>
            <w:r>
              <w:t xml:space="preserve">2</w:t>
            </w:r>
          </w:p>
        </w:tc>
        <w:tc>
          <w:tcPr>
            <w:tcW w:type="dxa" w:w="2337"/>
          </w:tcPr>
          <w:p>
            <w:r>
              <w:t xml:space="preserve">api</w:t>
            </w:r>
          </w:p>
        </w:tc>
        <w:tc>
          <w:tcPr>
            <w:tcW w:type="dxa" w:w="2337"/>
          </w:tcPr>
          <w:p>
            <w:r>
              <w:t xml:space="preserve">backend</w:t>
            </w:r>
          </w:p>
        </w:tc>
        <w:tc>
          <w:tcPr>
            <w:tcW w:type="dxa" w:w="2337"/>
          </w:tcPr>
          <w:p>
            <w:r>
              <w:t xml:space="preserve">Xử lý nghiệp vụ và RBAC</w:t>
            </w:r>
          </w:p>
        </w:tc>
      </w:tr>
      <w:tr>
        <w:tc>
          <w:tcPr>
            <w:tcW w:type="dxa" w:w="2337"/>
          </w:tcPr>
          <w:p>
            <w:r>
              <w:t xml:space="preserve">3</w:t>
            </w:r>
          </w:p>
        </w:tc>
        <w:tc>
          <w:tcPr>
            <w:tcW w:type="dxa" w:w="2337"/>
          </w:tcPr>
          <w:p>
            <w:r>
              <w:t xml:space="preserve">proctoring</w:t>
            </w:r>
          </w:p>
        </w:tc>
        <w:tc>
          <w:tcPr>
            <w:tcW w:type="dxa" w:w="2337"/>
          </w:tcPr>
          <w:p>
            <w:r>
              <w:t xml:space="preserve">realtime</w:t>
            </w:r>
          </w:p>
        </w:tc>
        <w:tc>
          <w:tcPr>
            <w:tcW w:type="dxa" w:w="2337"/>
          </w:tcPr>
          <w:p>
            <w:r>
              <w:t xml:space="preserve">Giám sát thi realtime</w:t>
            </w:r>
          </w:p>
        </w:tc>
      </w:tr>
      <w:tr>
        <w:tc>
          <w:tcPr>
            <w:tcW w:type="dxa" w:w="2337"/>
          </w:tcPr>
          <w:p>
            <w:r>
              <w:t xml:space="preserve">4</w:t>
            </w:r>
          </w:p>
        </w:tc>
        <w:tc>
          <w:tcPr>
            <w:tcW w:type="dxa" w:w="2337"/>
          </w:tcPr>
          <w:p>
            <w:r>
              <w:t xml:space="preserve">db</w:t>
            </w:r>
          </w:p>
        </w:tc>
        <w:tc>
          <w:tcPr>
            <w:tcW w:type="dxa" w:w="2337"/>
          </w:tcPr>
          <w:p>
            <w:r>
              <w:t xml:space="preserve">database</w:t>
            </w:r>
          </w:p>
        </w:tc>
        <w:tc>
          <w:tcPr>
            <w:tcW w:type="dxa" w:w="2337"/>
          </w:tcPr>
          <w:p>
            <w:r>
              <w:t xml:space="preserve">Lưu trữ dữ liệu chính</w:t>
            </w:r>
          </w:p>
        </w:tc>
      </w:tr>
      <w:tr>
        <w:tc>
          <w:tcPr>
            <w:tcW w:type="dxa" w:w="2337"/>
          </w:tcPr>
          <w:p>
            <w:r>
              <w:t xml:space="preserve">5</w:t>
            </w:r>
          </w:p>
        </w:tc>
        <w:tc>
          <w:tcPr>
            <w:tcW w:type="dxa" w:w="2337"/>
          </w:tcPr>
          <w:p>
            <w:r>
              <w:t xml:space="preserve">cache</w:t>
            </w:r>
          </w:p>
        </w:tc>
        <w:tc>
          <w:tcPr>
            <w:tcW w:type="dxa" w:w="2337"/>
          </w:tcPr>
          <w:p>
            <w:r>
              <w:t xml:space="preserve">cache</w:t>
            </w:r>
          </w:p>
        </w:tc>
        <w:tc>
          <w:tcPr>
            <w:tcW w:type="dxa" w:w="2337"/>
          </w:tcPr>
          <w:p>
            <w:r>
              <w:t xml:space="preserve">Tăng tốc truy xuất và lưu trạng thái</w:t>
            </w:r>
          </w:p>
        </w:tc>
      </w:tr>
    </w:tbl>
    <w:p>
      <w:pPr>
        <w:pStyle w:val="AHeading3"/>
      </w:pPr>
      <w:r>
        <w:t>Tương tác giữa các thành phần</w:t>
      </w:r>
    </w:p>
    <w:p>
      <w:pPr>
        <w:pStyle w:val="ETCContent"/>
      </w:pPr>
      <w:r>
        <w:t xml:space="preserve">Tương tác giữa các thành phần được chuẩn hóa theo hai nhóm giao thức. Nhóm thứ nhất là REST/JSON cho toàn bộ tác vụ nghiệp vụ có tính chất request-response như đăng nhập, lấy danh sách khóa học, cập nhật trạng thái publish, lấy lịch thi và truy xuất chi tiết kỳ thi. Nhóm thứ hai là WebSocket cho các tác vụ đòi hỏi phản hồi thời gian thực trong phiên thi như bắt đầu phiên, cập nhật trạng thái giám sát và đồng bộ sự kiện từ dịch vụ proctoring về giao diện người dùng. Mọi request nghiệp vụ đi qua API đều được kiểm tra JWT, áp dụng RBAC và ghi log để phục vụ truy vết. Các tương tác với dịch vụ bên ngoài được gọi qua HTTPS theo cơ chế timeout, retry có kiểm soát để bảo đảm ổn định. Mọi interaction đều có chuẩn retry/backoff và timeout để tránh treo tài nguyên. Các API quan trọng áp dụng idempotency cho thao tác cập nhật trạng thái nhằm giảm rủi ro thao tác lặp. Giao diện người dùng nhận mã lỗi chuẩn hóa để hiển thị thông điệp nhất quán và hỗ trợ troubleshooting nhanh.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2"/>
      </w:pPr>
      <w:r>
        <w:t>Kiến trúc dữ liệu</w:t>
      </w:r>
    </w:p>
    <w:p>
      <w:pPr>
        <w:pStyle w:val="ETCContent"/>
      </w:pPr>
      <w:r>
        <w:t xml:space="preserve">Mô hình dữ liệu của hệ thống tập trung vào ba nhóm chính: dữ liệu định danh người dùng, dữ liệu quản trị học tập và dữ liệu khảo thí. Bảng users lưu thông tin tài khoản, vai trò và trạng thái hoạt động; bảng courses lưu metadata khóa học, trạng thái phát hành và quan hệ với giảng viên; bảng exam_sessions lưu trạng thái phiên thi, liên kết người dự thi và các mốc nghiệp vụ quan trọng. Dữ liệu cốt lõi được lưu ở PostgreSQL để bảo đảm tính toàn vẹn giao dịch, hỗ trợ ràng buộc khóa chính/khóa ngoại và truy vấn báo cáo cơ bản. Redis được dùng cho cache dữ liệu đọc nhiều, lưu trạng thái tạm và giảm tải cho API trong các luồng có tần suất cao. Dữ liệu nhạy cảm không được ghi thô vào log; các trường quan trọng được kiểm soát vòng đời lưu trữ theo chính sách vận hành. Dữ liệu được phân loại theo mức độ nhạy cảm để áp dụng chính sách lưu trữ và truy cập phù hợp. Dữ liệu giao dịch quan trọng được ghi nhận timestamp và actor để bảo đảm khả năng truy vết. Với dữ liệu phục vụ realtime, hệ thống ưu tiên TTL và cơ chế dọn dẹp định kỳ để tránh phình bộ nhớ.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mô hình dữ liệu</w:t>
      </w:r>
    </w:p>
    <w:p>
      <w:pPr>
        <w:pStyle w:val="ETCContent"/>
      </w:pPr>
      <w:r>
        <w:t xml:space="preserve"/>
      </w:r>
      <w:r>
        <w:drawing>
          <wp:inline>
            <wp:extent cx="5029200" cy="8235972"/>
            <wp:docPr id="1005" name="Picture 74505"/>
            <wp:cNvGraphicFramePr>
              <a:graphicFrameLocks noChangeAspect="1"/>
            </wp:cNvGraphicFramePr>
            <a:graphic>
              <a:graphicData uri="http://schemas.openxmlformats.org/drawingml/2006/picture">
                <pic:pic>
                  <pic:nvPicPr>
                    <pic:cNvPr id="0" name="data_diagram.png"/>
                    <pic:cNvPicPr/>
                  </pic:nvPicPr>
                  <pic:blipFill>
                    <a:blip r:embed="rId20"/>
                    <a:stretch>
                      <a:fillRect/>
                    </a:stretch>
                  </pic:blipFill>
                  <pic:spPr>
                    <a:xfrm>
                      <a:off x="0" y="0"/>
                      <a:ext cx="5029200" cy="8235972"/>
                    </a:xfrm>
                    <a:prstGeom prst="rect"/>
                  </pic:spPr>
                </pic:pic>
              </a:graphicData>
            </a:graphic>
          </wp:inline>
        </w:drawing>
      </w:r>
      <w:r>
        <w:t xml:space="preserve"/>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w:t>
            </w:r>
          </w:p>
        </w:tc>
        <w:tc>
          <w:tcPr>
            <w:tcW w:type="dxa" w:w="2337"/>
          </w:tcPr>
          <w:p>
            <w:r>
              <w:t xml:space="preserve">Thông tin tài khoản và vai trò</w:t>
            </w:r>
          </w:p>
        </w:tc>
        <w:tc>
          <w:tcPr>
            <w:tcW w:type="dxa" w:w="2337"/>
          </w:tcPr>
          <w:p>
            <w:r>
              <w:t xml:space="preserve">PostgreSQL</w:t>
            </w:r>
          </w:p>
        </w:tc>
      </w:tr>
      <w:tr>
        <w:tc>
          <w:tcPr>
            <w:tcW w:type="dxa" w:w="2337"/>
          </w:tcPr>
          <w:p>
            <w:r>
              <w:t xml:space="preserve">2</w:t>
            </w:r>
          </w:p>
        </w:tc>
        <w:tc>
          <w:tcPr>
            <w:tcW w:type="dxa" w:w="2337"/>
          </w:tcPr>
          <w:p>
            <w:r>
              <w:t xml:space="preserve">Course</w:t>
            </w:r>
          </w:p>
        </w:tc>
        <w:tc>
          <w:tcPr>
            <w:tcW w:type="dxa" w:w="2337"/>
          </w:tcPr>
          <w:p>
            <w:r>
              <w:t xml:space="preserve">Thông tin khóa học và trạng thái publish</w:t>
            </w:r>
          </w:p>
        </w:tc>
        <w:tc>
          <w:tcPr>
            <w:tcW w:type="dxa" w:w="2337"/>
          </w:tcPr>
          <w:p>
            <w:r>
              <w:t xml:space="preserve">PostgreSQL</w:t>
            </w:r>
          </w:p>
        </w:tc>
      </w:tr>
      <w:tr>
        <w:tc>
          <w:tcPr>
            <w:tcW w:type="dxa" w:w="2337"/>
          </w:tcPr>
          <w:p>
            <w:r>
              <w:t xml:space="preserve">3</w:t>
            </w:r>
          </w:p>
        </w:tc>
        <w:tc>
          <w:tcPr>
            <w:tcW w:type="dxa" w:w="2337"/>
          </w:tcPr>
          <w:p>
            <w:r>
              <w:t xml:space="preserve">ExamSession</w:t>
            </w:r>
          </w:p>
        </w:tc>
        <w:tc>
          <w:tcPr>
            <w:tcW w:type="dxa" w:w="2337"/>
          </w:tcPr>
          <w:p>
            <w:r>
              <w:t xml:space="preserve">Phiên thi và trạng thái giám sát</w:t>
            </w:r>
          </w:p>
        </w:tc>
        <w:tc>
          <w:tcPr>
            <w:tcW w:type="dxa" w:w="2337"/>
          </w:tcPr>
          <w:p>
            <w:r>
              <w:t xml:space="preserve">PostgreSQL</w:t>
            </w:r>
          </w:p>
        </w:tc>
      </w:tr>
    </w:tbl>
    <w:p>
      <w:pPr>
        <w:pStyle w:val="AHeading2"/>
      </w:pPr>
      <w:r>
        <w:t>Kiến trúc tích hợp</w:t>
      </w:r>
    </w:p>
    <w:p>
      <w:pPr>
        <w:pStyle w:val="ETCContent"/>
      </w:pPr>
      <w:r>
        <w:t xml:space="preserve">Giải pháp có hai lớp tích hợp. Lớp tích hợp nội bộ gồm web, API và proctoring với chuẩn giao tiếp thống nhất, mô hình lỗi đồng nhất và quy ước xác thực dùng JWT Bearer. Lớp tích hợp ngoài bao gồm dịch vụ AI Face API phục vụ xác minh danh tính eKYC theo cơ chế cấu hình bật/tắt theo môi trường. Đối với mỗi điểm tích hợp, hệ thống áp dụng nguyên tắc có timeout rõ ràng, xử lý retry giới hạn và ghi nhận mã lỗi để phục vụ vận hành. Tại tầng API, contract tích hợp được mô tả theo OpenAPI nhằm giảm sai lệch giữa các nhóm phát triển và QA. Kiến trúc cho phép mở rộng tích hợp với cổng đồng bộ danh mục người học hoặc hệ thống báo cáo trung tâm ở các giai đoạn kế tiếp mà không làm thay đổi kiến trúc lõi. Các kịch bản lỗi tích hợp được định nghĩa trước gồm timeout, response không hợp lệ, lỗi xác thực và quá tải dịch vụ ngoài. Mỗi kịch bản đều có fallback rõ ràng để duy trì trải nghiệm cốt lõi. Nhật ký tích hợp được gắn correlation id để điều tra xuyên dịch vụ.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tích hợp hệ thống</w:t>
      </w:r>
    </w:p>
    <w:p>
      <w:pPr>
        <w:pStyle w:val="ETCContent"/>
      </w:pPr>
      <w:r>
        <w:t xml:space="preserve"/>
      </w:r>
      <w:r>
        <w:drawing>
          <wp:inline>
            <wp:extent cx="5029200" cy="2715768"/>
            <wp:docPr id="1006" name="Picture 74505"/>
            <wp:cNvGraphicFramePr>
              <a:graphicFrameLocks noChangeAspect="1"/>
            </wp:cNvGraphicFramePr>
            <a:graphic>
              <a:graphicData uri="http://schemas.openxmlformats.org/drawingml/2006/picture">
                <pic:pic>
                  <pic:nvPicPr>
                    <pic:cNvPr id="0" name="integration_diagram.png"/>
                    <pic:cNvPicPr/>
                  </pic:nvPicPr>
                  <pic:blipFill>
                    <a:blip r:embed="rId21"/>
                    <a:stretch>
                      <a:fillRect/>
                    </a:stretch>
                  </pic:blipFill>
                  <pic:spPr>
                    <a:xfrm>
                      <a:off x="0" y="0"/>
                      <a:ext cx="5029200" cy="2715768"/>
                    </a:xfrm>
                    <a:prstGeom prst="rect"/>
                  </pic:spPr>
                </pic:pic>
              </a:graphicData>
            </a:graphic>
          </wp:inline>
        </w:drawing>
      </w:r>
      <w:r>
        <w:t xml:space="preserve"/>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và cấp JWT</w:t>
            </w:r>
          </w:p>
        </w:tc>
        <w:tc>
          <w:tcPr>
            <w:tcW w:type="dxa" w:w="1870"/>
          </w:tcPr>
          <w:p>
            <w:r>
              <w:t xml:space="preserve">Public</w:t>
            </w:r>
          </w:p>
        </w:tc>
      </w:tr>
      <w:tr>
        <w:tc>
          <w:tcPr>
            <w:tcW w:type="dxa" w:w="1870"/>
          </w:tcPr>
          <w:p>
            <w:r>
              <w:t xml:space="preserve">2</w:t>
            </w:r>
          </w:p>
        </w:tc>
        <w:tc>
          <w:tcPr>
            <w:tcW w:type="dxa" w:w="1870"/>
          </w:tcPr>
          <w:p>
            <w:r>
              <w:t xml:space="preserve">/api/v1/courses</w:t>
            </w:r>
          </w:p>
        </w:tc>
        <w:tc>
          <w:tcPr>
            <w:tcW w:type="dxa" w:w="1870"/>
          </w:tcPr>
          <w:p>
            <w:r>
              <w:t xml:space="preserve">GET</w:t>
            </w:r>
          </w:p>
        </w:tc>
        <w:tc>
          <w:tcPr>
            <w:tcW w:type="dxa" w:w="1870"/>
          </w:tcPr>
          <w:p>
            <w:r>
              <w:t xml:space="preserve">Lấy danh sách khóa học</w:t>
            </w:r>
          </w:p>
        </w:tc>
        <w:tc>
          <w:tcPr>
            <w:tcW w:type="dxa" w:w="1870"/>
          </w:tcPr>
          <w:p>
            <w:r>
              <w:t xml:space="preserve">JWT Bearer</w:t>
            </w:r>
          </w:p>
        </w:tc>
      </w:tr>
      <w:tr>
        <w:tc>
          <w:tcPr>
            <w:tcW w:type="dxa" w:w="1870"/>
          </w:tcPr>
          <w:p>
            <w:r>
              <w:t xml:space="preserve">3</w:t>
            </w:r>
          </w:p>
        </w:tc>
        <w:tc>
          <w:tcPr>
            <w:tcW w:type="dxa" w:w="1870"/>
          </w:tcPr>
          <w:p>
            <w:r>
              <w:t xml:space="preserve">/api/v1/exam-schedules</w:t>
            </w:r>
          </w:p>
        </w:tc>
        <w:tc>
          <w:tcPr>
            <w:tcW w:type="dxa" w:w="1870"/>
          </w:tcPr>
          <w:p>
            <w:r>
              <w:t xml:space="preserve">GET</w:t>
            </w:r>
          </w:p>
        </w:tc>
        <w:tc>
          <w:tcPr>
            <w:tcW w:type="dxa" w:w="1870"/>
          </w:tcPr>
          <w:p>
            <w:r>
              <w:t xml:space="preserve">Lấy lịch thi</w:t>
            </w:r>
          </w:p>
        </w:tc>
        <w:tc>
          <w:tcPr>
            <w:tcW w:type="dxa" w:w="1870"/>
          </w:tcPr>
          <w:p>
            <w:r>
              <w:t xml:space="preserve">JWT Bearer</w:t>
            </w:r>
          </w:p>
        </w:tc>
      </w:tr>
      <w:tr>
        <w:tc>
          <w:tcPr>
            <w:tcW w:type="dxa" w:w="1870"/>
          </w:tcPr>
          <w:p>
            <w:r>
              <w:t xml:space="preserve">4</w:t>
            </w:r>
          </w:p>
        </w:tc>
        <w:tc>
          <w:tcPr>
            <w:tcW w:type="dxa" w:w="1870"/>
          </w:tcPr>
          <w:p>
            <w:r>
              <w:t xml:space="preserve">/api/v1/exam-schedules/{id}</w:t>
            </w:r>
          </w:p>
        </w:tc>
        <w:tc>
          <w:tcPr>
            <w:tcW w:type="dxa" w:w="1870"/>
          </w:tcPr>
          <w:p>
            <w:r>
              <w:t xml:space="preserve">GET</w:t>
            </w:r>
          </w:p>
        </w:tc>
        <w:tc>
          <w:tcPr>
            <w:tcW w:type="dxa" w:w="1870"/>
          </w:tcPr>
          <w:p>
            <w:r>
              <w:t xml:space="preserve">Lấy chi tiết kỳ thi theo định danh</w:t>
            </w:r>
          </w:p>
        </w:tc>
        <w:tc>
          <w:tcPr>
            <w:tcW w:type="dxa" w:w="1870"/>
          </w:tcPr>
          <w:p>
            <w:r>
              <w:t xml:space="preserve">JWT Bearer</w:t>
            </w:r>
          </w:p>
        </w:tc>
      </w:tr>
      <w:tr>
        <w:tc>
          <w:tcPr>
            <w:tcW w:type="dxa" w:w="1870"/>
          </w:tcPr>
          <w:p>
            <w:r>
              <w:t xml:space="preserve">5</w:t>
            </w:r>
          </w:p>
        </w:tc>
        <w:tc>
          <w:tcPr>
            <w:tcW w:type="dxa" w:w="1870"/>
          </w:tcPr>
          <w:p>
            <w:r>
              <w:t xml:space="preserve">/api/v1/courses/{id}/publish</w:t>
            </w:r>
          </w:p>
        </w:tc>
        <w:tc>
          <w:tcPr>
            <w:tcW w:type="dxa" w:w="1870"/>
          </w:tcPr>
          <w:p>
            <w:r>
              <w:t xml:space="preserve">POST</w:t>
            </w:r>
          </w:p>
        </w:tc>
        <w:tc>
          <w:tcPr>
            <w:tcW w:type="dxa" w:w="1870"/>
          </w:tcPr>
          <w:p>
            <w:r>
              <w:t xml:space="preserve">Chuyển khóa học từ draft sang published</w:t>
            </w:r>
          </w:p>
        </w:tc>
        <w:tc>
          <w:tcPr>
            <w:tcW w:type="dxa" w:w="1870"/>
          </w:tcPr>
          <w:p>
            <w:r>
              <w:t xml:space="preserve">JWT Bearer (instructor/admin)</w:t>
            </w:r>
          </w:p>
        </w:tc>
      </w:tr>
      <w:tr>
        <w:tc>
          <w:tcPr>
            <w:tcW w:type="dxa" w:w="1870"/>
          </w:tcPr>
          <w:p>
            <w:r>
              <w:t xml:space="preserve">6</w:t>
            </w:r>
          </w:p>
        </w:tc>
        <w:tc>
          <w:tcPr>
            <w:tcW w:type="dxa" w:w="1870"/>
          </w:tcPr>
          <w:p>
            <w:r>
              <w:t xml:space="preserve">/api/v1/courses/{id}/unpublish</w:t>
            </w:r>
          </w:p>
        </w:tc>
        <w:tc>
          <w:tcPr>
            <w:tcW w:type="dxa" w:w="1870"/>
          </w:tcPr>
          <w:p>
            <w:r>
              <w:t xml:space="preserve">POST</w:t>
            </w:r>
          </w:p>
        </w:tc>
        <w:tc>
          <w:tcPr>
            <w:tcW w:type="dxa" w:w="1870"/>
          </w:tcPr>
          <w:p>
            <w:r>
              <w:t xml:space="preserve">Chuyển khóa học về trạng thái draft</w:t>
            </w:r>
          </w:p>
        </w:tc>
        <w:tc>
          <w:tcPr>
            <w:tcW w:type="dxa" w:w="1870"/>
          </w:tcPr>
          <w:p>
            <w:r>
              <w:t xml:space="preserve">JWT Bearer (instructor/admin)</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AI Face API</w:t>
            </w:r>
          </w:p>
        </w:tc>
        <w:tc>
          <w:tcPr>
            <w:tcW w:type="dxa" w:w="2337"/>
          </w:tcPr>
          <w:p>
            <w:r>
              <w:t xml:space="preserve">HTTPS</w:t>
            </w:r>
          </w:p>
        </w:tc>
        <w:tc>
          <w:tcPr>
            <w:tcW w:type="dxa" w:w="2337"/>
          </w:tcPr>
          <w:p>
            <w:r>
              <w:t xml:space="preserve">So khớp khuôn mặt phục vụ eKYC</w:t>
            </w:r>
          </w:p>
        </w:tc>
      </w:tr>
    </w:tbl>
    <w:p>
      <w:pPr>
        <w:pStyle w:val="AHeading2"/>
      </w:pPr>
      <w:r>
        <w:t>Kiến trúc triển khai</w:t>
      </w:r>
    </w:p>
    <w:p>
      <w:pPr>
        <w:pStyle w:val="ETCContent"/>
      </w:pPr>
      <w:r>
        <w:t xml:space="preserve">Kiến trúc triển khai hiện tại sử dụng Docker Compose cho môi trường phát triển và kiểm thử tích hợp, trong đó từng thành phần chạy container độc lập với cổng dịch vụ rõ ràng: web 3000, API 4000, proctoring 4100, PostgreSQL 5432 và Redis 6379. Cách tổ chức này cho phép tái tạo môi trường nhanh, giảm sai lệch cấu hình giữa các máy phát triển và hỗ trợ kiểm thử end-to-end theo luồng nghiệp vụ đầy đủ. Ở định hướng production, mô hình triển khai được thiết kế tương thích với container orchestration để scale ngang cho lớp stateless, kết hợp cơ chế healthcheck, rolling update và giám sát tập trung. Chính sách backup cơ sở dữ liệu, phục hồi sự cố và quản lý biến môi trường nhạy cảm được định nghĩa như điều kiện bắt buộc trước khi go-live. Môi trường triển khai được tách thành dev, staging và production với cấu hình biến môi trường riêng. Quy trình release áp dụng kiểm thử smoke bắt buộc, rollback checklist và xác nhận hậu triển khai. Hệ thống chuẩn bị sẵn kịch bản mở rộng tài nguyên theo ngưỡng CPU, memory và độ trễ API.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kiến trúc triển khai</w:t>
      </w:r>
    </w:p>
    <w:p>
      <w:pPr>
        <w:pStyle w:val="ETCContent"/>
      </w:pPr>
      <w:r>
        <w:t xml:space="preserve"/>
      </w:r>
      <w:r>
        <w:drawing>
          <wp:inline>
            <wp:extent cx="5029200" cy="4602997"/>
            <wp:docPr id="1007" name="Picture 74505"/>
            <wp:cNvGraphicFramePr>
              <a:graphicFrameLocks noChangeAspect="1"/>
            </wp:cNvGraphicFramePr>
            <a:graphic>
              <a:graphicData uri="http://schemas.openxmlformats.org/drawingml/2006/picture">
                <pic:pic>
                  <pic:nvPicPr>
                    <pic:cNvPr id="0" name="deployment_diagram.png"/>
                    <pic:cNvPicPr/>
                  </pic:nvPicPr>
                  <pic:blipFill>
                    <a:blip r:embed="rId22"/>
                    <a:stretch>
                      <a:fillRect/>
                    </a:stretch>
                  </pic:blipFill>
                  <pic:spPr>
                    <a:xfrm>
                      <a:off x="0" y="0"/>
                      <a:ext cx="5029200" cy="4602997"/>
                    </a:xfrm>
                    <a:prstGeom prst="rect"/>
                  </pic:spPr>
                </pic:pic>
              </a:graphicData>
            </a:graphic>
          </wp:inline>
        </w:drawing>
      </w:r>
      <w:r>
        <w:t xml:space="preserve"/>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Development</w:t>
            </w:r>
          </w:p>
        </w:tc>
        <w:tc>
          <w:tcPr>
            <w:tcW w:type="dxa" w:w="3116"/>
          </w:tcPr>
          <w:p>
            <w:r>
              <w:t xml:space="preserve">Docker Compose trên máy dev</w:t>
            </w:r>
          </w:p>
        </w:tc>
        <w:tc>
          <w:tcPr>
            <w:tcW w:type="dxa" w:w="3116"/>
          </w:tcPr>
          <w:p>
            <w:r>
              <w:t xml:space="preserve">Phát triển và kiểm thử</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r>
        <w:tc>
          <w:tcPr>
            <w:tcW w:type="dxa" w:w="1870"/>
          </w:tcPr>
          <w:p>
            <w:r>
              <w:t xml:space="preserve">1</w:t>
            </w:r>
          </w:p>
        </w:tc>
        <w:tc>
          <w:tcPr>
            <w:tcW w:type="dxa" w:w="1870"/>
          </w:tcPr>
          <w:p>
            <w:r>
              <w:t xml:space="preserve">lms-web-1</w:t>
            </w:r>
          </w:p>
        </w:tc>
        <w:tc>
          <w:tcPr>
            <w:tcW w:type="dxa" w:w="1870"/>
          </w:tcPr>
          <w:p>
            <w:r>
              <w:t xml:space="preserve">web</w:t>
            </w:r>
          </w:p>
        </w:tc>
        <w:tc>
          <w:tcPr>
            <w:tcW w:type="dxa" w:w="1870"/>
          </w:tcPr>
          <w:p>
            <w:r>
              <w:t xml:space="preserve">3000</w:t>
            </w:r>
          </w:p>
        </w:tc>
        <w:tc>
          <w:tcPr>
            <w:tcW w:type="dxa" w:w="1870"/>
          </w:tcPr>
          <w:p>
            <w:r>
              <w:t xml:space="preserve">lms-api-1</w:t>
            </w:r>
          </w:p>
        </w:tc>
      </w:tr>
      <w:tr>
        <w:tc>
          <w:tcPr>
            <w:tcW w:type="dxa" w:w="1870"/>
          </w:tcPr>
          <w:p>
            <w:r>
              <w:t xml:space="preserve">2</w:t>
            </w:r>
          </w:p>
        </w:tc>
        <w:tc>
          <w:tcPr>
            <w:tcW w:type="dxa" w:w="1870"/>
          </w:tcPr>
          <w:p>
            <w:r>
              <w:t xml:space="preserve">lms-api-1</w:t>
            </w:r>
          </w:p>
        </w:tc>
        <w:tc>
          <w:tcPr>
            <w:tcW w:type="dxa" w:w="1870"/>
          </w:tcPr>
          <w:p>
            <w:r>
              <w:t xml:space="preserve">api</w:t>
            </w:r>
          </w:p>
        </w:tc>
        <w:tc>
          <w:tcPr>
            <w:tcW w:type="dxa" w:w="1870"/>
          </w:tcPr>
          <w:p>
            <w:r>
              <w:t xml:space="preserve">4000</w:t>
            </w:r>
          </w:p>
        </w:tc>
        <w:tc>
          <w:tcPr>
            <w:tcW w:type="dxa" w:w="1870"/>
          </w:tcPr>
          <w:p>
            <w:r>
              <w:t xml:space="preserve">db, cache</w:t>
            </w:r>
          </w:p>
        </w:tc>
      </w:tr>
      <w:tr>
        <w:tc>
          <w:tcPr>
            <w:tcW w:type="dxa" w:w="1870"/>
          </w:tcPr>
          <w:p>
            <w:r>
              <w:t xml:space="preserve">3</w:t>
            </w:r>
          </w:p>
        </w:tc>
        <w:tc>
          <w:tcPr>
            <w:tcW w:type="dxa" w:w="1870"/>
          </w:tcPr>
          <w:p>
            <w:r>
              <w:t xml:space="preserve">lms-proctoring-1</w:t>
            </w:r>
          </w:p>
        </w:tc>
        <w:tc>
          <w:tcPr>
            <w:tcW w:type="dxa" w:w="1870"/>
          </w:tcPr>
          <w:p>
            <w:r>
              <w:t xml:space="preserve">proctoring</w:t>
            </w:r>
          </w:p>
        </w:tc>
        <w:tc>
          <w:tcPr>
            <w:tcW w:type="dxa" w:w="1870"/>
          </w:tcPr>
          <w:p>
            <w:r>
              <w:t xml:space="preserve">4100</w:t>
            </w:r>
          </w:p>
        </w:tc>
        <w:tc>
          <w:tcPr>
            <w:tcW w:type="dxa" w:w="1870"/>
          </w:tcPr>
          <w:p>
            <w:r>
              <w:t xml:space="preserve">db</w:t>
            </w:r>
          </w:p>
        </w:tc>
      </w:tr>
    </w:tbl>
    <w:p>
      <w:pPr>
        <w:pStyle w:val="AHeading2"/>
      </w:pPr>
      <w:r>
        <w:t>Kiến trúc bảo mật</w:t>
      </w:r>
    </w:p>
    <w:p>
      <w:pPr>
        <w:pStyle w:val="ETCContent"/>
      </w:pPr>
      <w:r>
        <w:t xml:space="preserve">Kiến trúc an toàn thông tin được thiết kế theo nguyên tắc phòng thủ nhiều lớp gồm xác thực, phân quyền, kiểm soát truy cập, ghi log truy vết và bảo vệ dữ liệu. Ở lớp truy cập, hệ thống yêu cầu JWT hợp lệ cho toàn bộ endpoint nghiệp vụ riêng tư, đồng thời áp dụng RBAC để giới hạn thao tác theo vai trò admin, instructor và student. Ở lớp ứng dụng, input được kiểm tra ràng buộc định dạng, giới hạn dữ liệu và chuẩn hóa thông báo lỗi để giảm nguy cơ khai thác. Ở lớp vận hành, log bảo mật và log nghiệp vụ được phân tách, có khả năng truy vết sự kiện phục vụ điều tra sự cố. Ở lớp hạ tầng, môi trường production yêu cầu HTTPS/TLS, quản lý secrets tập trung, phân vùng mạng dịch vụ và chính sách cập nhật bản vá định kỳ. Chính sách bảo mật bao gồm quản lý danh tính, quản lý secrets, kiểm soát truy cập mạng, hardening dịch vụ và giám sát an ninh. Quy trình vận hành quy định rà soát quyền định kỳ, luân chuyển thông tin truy cập nhạy cảm và kiểm thử xâm nhập theo kế hoạch. Sự cố an ninh được phân cấp mức độ và có SLA phản ứng cụ thể.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kiến trúc bảo mật</w:t>
      </w:r>
    </w:p>
    <w:p>
      <w:pPr>
        <w:pStyle w:val="ETCContent"/>
      </w:pPr>
      <w:r>
        <w:t xml:space="preserve"/>
      </w:r>
      <w:r>
        <w:drawing>
          <wp:inline>
            <wp:extent cx="5029200" cy="400505"/>
            <wp:docPr id="1008" name="Picture 74505"/>
            <wp:cNvGraphicFramePr>
              <a:graphicFrameLocks noChangeAspect="1"/>
            </wp:cNvGraphicFramePr>
            <a:graphic>
              <a:graphicData uri="http://schemas.openxmlformats.org/drawingml/2006/picture">
                <pic:pic>
                  <pic:nvPicPr>
                    <pic:cNvPr id="0" name="security_diagram.png"/>
                    <pic:cNvPicPr/>
                  </pic:nvPicPr>
                  <pic:blipFill>
                    <a:blip r:embed="rId23"/>
                    <a:stretch>
                      <a:fillRect/>
                    </a:stretch>
                  </pic:blipFill>
                  <pic:spPr>
                    <a:xfrm>
                      <a:off x="0" y="0"/>
                      <a:ext cx="5029200" cy="400505"/>
                    </a:xfrm>
                    <a:prstGeom prst="rect"/>
                  </pic:spPr>
                </pic:pic>
              </a:graphicData>
            </a:graphic>
          </wp:inline>
        </w:drawing>
      </w:r>
      <w:r>
        <w:t xml:space="preserve"/>
      </w:r>
    </w:p>
    <w:p>
      <w:pPr>
        <w:pStyle w:val="AHeading3"/>
      </w:pPr>
      <w:r>
        <w:t>Xác thực và phân quyền</w:t>
      </w:r>
    </w:p>
    <w:p>
      <w:pPr>
        <w:pStyle w:val="ETCContent"/>
      </w:pPr>
      <w:r>
        <w:t xml:space="preserve">Luồng xác thực bắt đầu từ endpoint đăng nhập nhận định danh và mật khẩu, kiểm tra trạng thái tài khoản rồi phát hành JWT Bearer có thời hạn cụ thể cùng thông tin role để phục vụ kiểm soát truy cập ở các request kế tiếp. Token được gửi trong header Authorization theo chuẩn Bearer và được middleware/guard xác thực chữ ký, thời hạn và quyền truy cập trước khi vào business handler. Đối với endpoint nhạy cảm như publish/unpublish hoặc quản trị, hệ thống yêu cầu đồng thời điều kiện authenticated và role phù hợp. Cơ chế này cho phép tách bạch trách nhiệm xác thực và nghiệp vụ, đồng thời bảo đảm tính nhất quán về chính sách truy cập trên toàn bộ API. Token policy quy định thời hạn, cơ chế làm mới, điều kiện thu hồi và danh sách endpoint miễn xác thực. Đối với hành vi bất thường, hệ thống có thể vô hiệu phiên và yêu cầu xác thực lại. Mọi sự kiện xác thực quan trọng được ghi nhận để phục vụ điều tra và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3"/>
      </w:pPr>
      <w:r>
        <w:t>Bảo vệ dữ liệu</w:t>
      </w:r>
    </w:p>
    <w:p>
      <w:pPr>
        <w:pStyle w:val="ETCContent"/>
      </w:pPr>
      <w:r>
        <w:t xml:space="preserve">Dữ liệu được bảo vệ theo toàn bộ vòng đời từ truyền nhận, xử lý đến lưu trữ. Trong truyền nhận, production bắt buộc sử dụng TLS để mã hóa đường truyền giữa người dùng và dịch vụ; trong nội bộ hệ thống, các kênh dịch vụ được giới hạn truy cập theo phân vùng mạng. Trong xử lý, các trường nhạy cảm như mật khẩu không được lưu dạng rõ và không được ghi thẳng vào log. Trong lưu trữ, dữ liệu nghiệp vụ được sao lưu định kỳ, có chính sách lưu giữ và phục hồi theo RPO/RTO đã xác định. Ngoài ra, hệ thống áp dụng nguyên tắc tối thiểu quyền truy cập đối với tài khoản kỹ thuật và triển khai kiểm soát audit để đáp ứng yêu cầu kiểm tra, giám sát và tuân thủ. Kế hoạch bảo vệ dữ liệu bao gồm backup theo lịch, kiểm thử restore định kỳ, chính sách retention và quy trình xử lý yêu cầu xóa dữ liệu theo quy định. Dữ liệu nhạy cảm được áp dụng nguyên tắc least privilege, mã hóa khi truyền và hạn chế hiển thị ở giao diện quản trị. Bản ghi audit phục vụ truy vết phải được bảo toàn tính toàn vẹn.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Availability</w:t>
            </w:r>
          </w:p>
        </w:tc>
        <w:tc>
          <w:tcPr>
            <w:tcW w:type="dxa" w:w="3116"/>
          </w:tcPr>
          <w:p>
            <w:r>
              <w:t xml:space="preserve">&gt;= 99.5% trong giờ làm việc</w:t>
            </w:r>
          </w:p>
        </w:tc>
        <w:tc>
          <w:tcPr>
            <w:tcW w:type="dxa" w:w="3116"/>
          </w:tcPr>
          <w:p>
            <w:r>
              <w:t xml:space="preserve">Container healthcheck và giám sát service</w:t>
            </w:r>
          </w:p>
        </w:tc>
      </w:tr>
      <w:tr>
        <w:tc>
          <w:tcPr>
            <w:tcW w:type="dxa" w:w="3116"/>
          </w:tcPr>
          <w:p>
            <w:r>
              <w:t xml:space="preserve">Performance</w:t>
            </w:r>
          </w:p>
        </w:tc>
        <w:tc>
          <w:tcPr>
            <w:tcW w:type="dxa" w:w="3116"/>
          </w:tcPr>
          <w:p>
            <w:r>
              <w:t xml:space="preserve">P95 API  500ms cho endpoint chính</w:t>
            </w:r>
          </w:p>
        </w:tc>
        <w:tc>
          <w:tcPr>
            <w:tcW w:type="dxa" w:w="3116"/>
          </w:tcPr>
          <w:p>
            <w:r>
              <w:t xml:space="preserve">Redis cache và tối ưu truy vấn DB</w:t>
            </w:r>
          </w:p>
        </w:tc>
      </w:tr>
      <w:tr>
        <w:tc>
          <w:tcPr>
            <w:tcW w:type="dxa" w:w="3116"/>
          </w:tcPr>
          <w:p>
            <w:r>
              <w:t xml:space="preserve">Security</w:t>
            </w:r>
          </w:p>
        </w:tc>
        <w:tc>
          <w:tcPr>
            <w:tcW w:type="dxa" w:w="3116"/>
          </w:tcPr>
          <w:p>
            <w:r>
              <w:t xml:space="preserve">100% endpoint private yêu cầu JWT hợp lệ và kiểm tra role; 0 endpoint nhạy cảm ở chế độ public</w:t>
            </w:r>
          </w:p>
        </w:tc>
        <w:tc>
          <w:tcPr>
            <w:tcW w:type="dxa" w:w="3116"/>
          </w:tcPr>
          <w:p>
            <w:r>
              <w:t xml:space="preserve">NestJS guards và kiểm tra role</w:t>
            </w:r>
          </w:p>
        </w:tc>
      </w:tr>
      <w:tr>
        <w:tc>
          <w:tcPr>
            <w:tcW w:type="dxa" w:w="3116"/>
          </w:tcPr>
          <w:p>
            <w:r>
              <w:t xml:space="preserve">Scalability</w:t>
            </w:r>
          </w:p>
        </w:tc>
        <w:tc>
          <w:tcPr>
            <w:tcW w:type="dxa" w:w="3116"/>
          </w:tcPr>
          <w:p>
            <w:r>
              <w:t xml:space="preserve">Hệ thống phục vụ tối thiểu 200 người dùng đồng thời ở luồng học tập và 100 phiên thi đồng thời</w:t>
            </w:r>
          </w:p>
        </w:tc>
        <w:tc>
          <w:tcPr>
            <w:tcW w:type="dxa" w:w="3116"/>
          </w:tcPr>
          <w:p>
            <w:r>
              <w:t xml:space="preserve">Tách web/api/proctoring thành dịch vụ độc lập và scale ngang cho lớp stateless</w:t>
            </w:r>
          </w:p>
        </w:tc>
      </w:tr>
      <w:tr>
        <w:tc>
          <w:tcPr>
            <w:tcW w:type="dxa" w:w="3116"/>
          </w:tcPr>
          <w:p>
            <w:r>
              <w:t xml:space="preserve">Reliability</w:t>
            </w:r>
          </w:p>
        </w:tc>
        <w:tc>
          <w:tcPr>
            <w:tcW w:type="dxa" w:w="3116"/>
          </w:tcPr>
          <w:p>
            <w:r>
              <w:t xml:space="preserve">Tỷ lệ lỗi 5xx của API chính  1% theo ngày, MTTR sự cố mức Major = 60 phút</w:t>
            </w:r>
          </w:p>
        </w:tc>
        <w:tc>
          <w:tcPr>
            <w:tcW w:type="dxa" w:w="3116"/>
          </w:tcPr>
          <w:p>
            <w:r>
              <w:t xml:space="preserve">Giám sát log tập trung, cảnh báo theo ngưỡng và runbook xử lý sự cố</w:t>
            </w:r>
          </w:p>
        </w:tc>
      </w:tr>
      <w:tr>
        <w:tc>
          <w:tcPr>
            <w:tcW w:type="dxa" w:w="3116"/>
          </w:tcPr>
          <w:p>
            <w:r>
              <w:t xml:space="preserve">Maintainability</w:t>
            </w:r>
          </w:p>
        </w:tc>
        <w:tc>
          <w:tcPr>
            <w:tcW w:type="dxa" w:w="3116"/>
          </w:tcPr>
          <w:p>
            <w:r>
              <w:t xml:space="preserve">100% endpoint công khai có mô tả contract OpenAPI; thời gian onboard kỹ sư mới = 3 ngày</w:t>
            </w:r>
          </w:p>
        </w:tc>
        <w:tc>
          <w:tcPr>
            <w:tcW w:type="dxa" w:w="3116"/>
          </w:tcPr>
          <w:p>
            <w:r>
              <w:t xml:space="preserve">Chuẩn hóa cấu trúc module, tài liệu API và checklist code review</w:t>
            </w:r>
          </w:p>
        </w:tc>
      </w:tr>
    </w:tbl>
    <w:p>
      <w:pPr>
        <w:pStyle w:val="Heading2"/>
      </w:pPr>
      <w:r>
        <w:t>Tổng quan nghiệp vụ</w:t>
      </w:r>
    </w:p>
    <w:p>
      <w:r>
        <w:t xml:space="preserve">Về nghiệp vụ, hệ thống phục vụ xuyên suốt vòng đời đào tạo và khảo thí trực tuyến gồm quản lý danh mục khóa học, tổ chức hoạt động học, thiết lập kỳ thi, xác minh danh tính trước thi, giám sát phiên thi theo thời gian thực và ghi nhận kết quả phục vụ báo cáo. Ở tầng ứng dụng, các chức năng được tổ chức thành các module có ranh giới rõ ràng để giảm phụ thuộc thay đổi và tăng tốc triển khai theo từng giai đoạn. Ở tầng dữ liệu, thông tin cốt lõi được chuẩn hóa để hỗ trợ truy vấn vận hành và khả năng đối soát nghiệp vụ. Ở tầng công nghệ, kiến trúc dịch vụ container hóa cho phép mở rộng linh hoạt theo nhu cầu sử dụng. Ở tầng an toàn thông tin, hệ thống áp dụng xác thực mạnh, phân quyền chi tiết, truy vết đầy đủ và chính sách bảo vệ dữ liệu theo quy định hiện hành. Ở cấp nghiệp vụ, nền tảng hướng tới chuẩn hóa trải nghiệm người học và giảm tải cho bộ phận vận hành. Ở cấp ứng dụng, các module được chuẩn hóa theo hợp đồng rõ ràng để tăng tốc phát triển tính năng mới. Ở cấp dữ liệu, hệ thống áp dụng mô hình dữ liệu tập trung để hỗ trợ đối soát và kiểm toán. Ở cấp công nghệ, kiến trúc container giúp tối ưu phân bổ tài nguyên và dễ tự động hóa triển khai. Ở cấp an toàn thông tin, giải pháp tích hợp kiểm soát truy cập đa lớp và theo dõi sự kiện an ninh liên tục.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Heading2"/>
      </w:pPr>
      <w:r>
        <w:t>Nguyên tắc thiết kế kiến trúc</w:t>
      </w:r>
    </w:p>
    <w:p>
      <w:r>
        <w:t xml:space="preserve">Nguyên tắc thiết kế được áp dụng nhất quán gồm: phân tách trách nhiệm theo ranh giới dịch vụ để mỗi thành phần có vòng đời triển khai độc lập; API-first nhằm chuẩn hóa tích hợp và giảm sai lệch giữa frontend, backend và QA; security-by-design với xác thực, phân quyền và kiểm soát dữ liệu tích hợp ngay từ đầu; observable-by-default bằng log, metric và trace tối thiểu cho mọi luồng nghiệp vụ trọng yếu; fail-safe trong tương tác ngoài hệ thống bằng timeout/retry có giới hạn; và ưu tiên backward compatibility cho contract công khai để giảm rủi ro khi nâng cấp. Nguyên tắc bổ sung gồm ưu tiên đơn giản hóa luồng nghiệp vụ, tránh tối ưu sớm, cô lập lỗi theo miền chức năng, thiết kế dễ kiểm thử và ghi nhận đầy đủ quyết định kiến trúc để phục vụ audit. Mọi thay đổi quan trọng cần có đánh giá tác động lên hiệu năng, bảo mật, vận hành và chi phí.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Heading2"/>
      </w:pPr>
      <w:r>
        <w:t>Tổng quan nghiệp vụ</w:t>
      </w:r>
    </w:p>
    <w:p>
      <w:r>
        <w:t xml:space="preserve">Về nghiệp vụ, hệ thống phục vụ xuyên suốt vòng đời đào tạo và khảo thí trực tuyến gồm quản lý danh mục khóa học, tổ chức hoạt động học, thiết lập kỳ thi, xác minh danh tính trước thi, giám sát phiên thi theo thời gian thực và ghi nhận kết quả phục vụ báo cáo. Ở tầng ứng dụng, các chức năng được tổ chức thành các module có ranh giới rõ ràng để giảm phụ thuộc thay đổi và tăng tốc triển khai theo từng giai đoạn. Ở tầng dữ liệu, thông tin cốt lõi được chuẩn hóa để hỗ trợ truy vấn vận hành và khả năng đối soát nghiệp vụ. Ở tầng công nghệ, kiến trúc dịch vụ container hóa cho phép mở rộng linh hoạt theo nhu cầu sử dụng. Ở tầng an toàn thông tin, hệ thống áp dụng xác thực mạnh, phân quyền chi tiết, truy vết đầy đủ và chính sách bảo vệ dữ liệu theo quy định hiện hành. Ở cấp nghiệp vụ, nền tảng hướng tới chuẩn hóa trải nghiệm người học và giảm tải cho bộ phận vận hành. Ở cấp ứng dụng, các module được chuẩn hóa theo hợp đồng rõ ràng để tăng tốc phát triển tính năng mới. Ở cấp dữ liệu, hệ thống áp dụng mô hình dữ liệu tập trung để hỗ trợ đối soát và kiểm toán. Ở cấp công nghệ, kiến trúc container giúp tối ưu phân bổ tài nguyên và dễ tự động hóa triển khai. Ở cấp an toàn thông tin, giải pháp tích hợp kiểm soát truy cập đa lớp và theo dõi sự kiện an ninh liên tục.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Heading2"/>
      </w:pPr>
      <w:r>
        <w:t>Nguyên tắc thiết kế kiến trúc</w:t>
      </w:r>
    </w:p>
    <w:p>
      <w:r>
        <w:t xml:space="preserve">Nguyên tắc thiết kế được áp dụng nhất quán gồm: phân tách trách nhiệm theo ranh giới dịch vụ để mỗi thành phần có vòng đời triển khai độc lập; API-first nhằm chuẩn hóa tích hợp và giảm sai lệch giữa frontend, backend và QA; security-by-design với xác thực, phân quyền và kiểm soát dữ liệu tích hợp ngay từ đầu; observable-by-default bằng log, metric và trace tối thiểu cho mọi luồng nghiệp vụ trọng yếu; fail-safe trong tương tác ngoài hệ thống bằng timeout/retry có giới hạn; và ưu tiên backward compatibility cho contract công khai để giảm rủi ro khi nâng cấp. Nguyên tắc bổ sung gồm ưu tiên đơn giản hóa luồng nghiệp vụ, tránh tối ưu sớm, cô lập lỗi theo miền chức năng, thiết kế dễ kiểm thử và ghi nhận đầy đủ quyết định kiến trúc để phục vụ audit. Mọi thay đổi quan trọng cần có đánh giá tác động lên hiệu năng, bảo mật, vận hành và chi phí.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EDUPROCTOR-2026 - Tài liệu thiết kế kiến trúc</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