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CỘNG HÒA XÃ HỘI CHỦ NGHĨA VIỆT NAM</w:t>
      </w:r>
    </w:p>
    <w:p>
      <w:pPr>
        <w:spacing w:after="60"/>
        <w:jc w:val="center"/>
      </w:pPr>
      <w:r>
        <w:rPr>
          <w:rFonts w:ascii="Times New Roman" w:cs="Times New Roman" w:eastAsia="Times New Roman" w:hAnsi="Times New Roman"/>
          <w:b/>
          <w:bCs/>
          <w:sz w:val="24"/>
          <w:szCs w:val="24"/>
        </w:rPr>
        <w:t xml:space="preserve">Độc lập – Tự do – Hạnh phúc</w:t>
      </w:r>
    </w:p>
    <w:p>
      <w:pPr>
        <w:spacing w:after="120"/>
        <w:jc w:val="center"/>
      </w:pPr>
      <w:r>
        <w:rPr>
          <w:rFonts w:ascii="Times New Roman" w:cs="Times New Roman" w:eastAsia="Times New Roman" w:hAnsi="Times New Roman"/>
          <w:b w:val="false"/>
          <w:bCs w:val="false"/>
          <w:sz w:val="24"/>
          <w:szCs w:val="24"/>
        </w:rPr>
        <w:t xml:space="preserve">────────────────────</w:t>
      </w:r>
    </w:p>
    <w:p>
      <w:pPr>
        <w:spacing w:after="60"/>
        <w:jc w:val="center"/>
      </w:pPr>
      <w:r>
        <w:rPr>
          <w:rFonts w:ascii="Times New Roman" w:cs="Times New Roman" w:eastAsia="Times New Roman" w:hAnsi="Times New Roman"/>
          <w:b/>
          <w:bCs/>
          <w:sz w:val="26"/>
          <w:szCs w:val="26"/>
        </w:rPr>
        <w:t xml:space="preserve">CÔNG TY CỔ PHẦN GIONG VIỆT NAM</w:t>
      </w:r>
    </w:p>
    <w:p>
      <w:pPr>
        <w:spacing w:after="200"/>
        <w:jc w:val="center"/>
      </w:pPr>
      <w:r>
        <w:rPr>
          <w:rFonts w:ascii="Times New Roman" w:cs="Times New Roman" w:eastAsia="Times New Roman" w:hAnsi="Times New Roman"/>
          <w:b w:val="false"/>
          <w:bCs w:val="false"/>
          <w:sz w:val="24"/>
          <w:szCs w:val="24"/>
        </w:rPr>
        <w:t xml:space="preserve">Số: ………/QC-GIONG</w:t>
      </w:r>
    </w:p>
    <w:p>
      <w:pPr>
        <w:spacing w:after="60"/>
        <w:jc w:val="center"/>
      </w:pPr>
      <w:r>
        <w:rPr>
          <w:rFonts w:ascii="Times New Roman" w:cs="Times New Roman" w:eastAsia="Times New Roman" w:hAnsi="Times New Roman"/>
          <w:b/>
          <w:bCs/>
          <w:sz w:val="32"/>
          <w:szCs w:val="32"/>
        </w:rPr>
        <w:t xml:space="preserve">QUY CHẾ</w:t>
      </w:r>
    </w:p>
    <w:p>
      <w:pPr>
        <w:spacing w:after="40"/>
        <w:jc w:val="center"/>
      </w:pPr>
      <w:r>
        <w:rPr>
          <w:rFonts w:ascii="Times New Roman" w:cs="Times New Roman" w:eastAsia="Times New Roman" w:hAnsi="Times New Roman"/>
          <w:b/>
          <w:bCs/>
          <w:sz w:val="28"/>
          <w:szCs w:val="28"/>
        </w:rPr>
        <w:t xml:space="preserve">VỀ CHẾ ĐỘ VÀ PHƯƠNG PHÁP TÍNH PHỤ CẤP</w:t>
      </w:r>
    </w:p>
    <w:p>
      <w:pPr>
        <w:spacing w:after="200"/>
        <w:jc w:val="center"/>
      </w:pPr>
      <w:r>
        <w:rPr>
          <w:rFonts w:ascii="Times New Roman" w:cs="Times New Roman" w:eastAsia="Times New Roman" w:hAnsi="Times New Roman"/>
          <w:b/>
          <w:bCs/>
          <w:sz w:val="28"/>
          <w:szCs w:val="28"/>
        </w:rPr>
        <w:t xml:space="preserve">VẬN CHUYỂN NỘI BỘ</w:t>
      </w:r>
    </w:p>
    <w:p>
      <w:pPr>
        <w:spacing w:after="80"/>
        <w:jc w:val="both"/>
      </w:pPr>
      <w:r>
        <w:rPr>
          <w:rFonts w:ascii="Times New Roman" w:cs="Times New Roman" w:eastAsia="Times New Roman" w:hAnsi="Times New Roman"/>
          <w:b/>
          <w:bCs/>
          <w:sz w:val="24"/>
          <w:szCs w:val="24"/>
        </w:rPr>
        <w:t xml:space="preserve">Căn cứ:</w:t>
      </w:r>
    </w:p>
    <w:p>
      <w:pPr>
        <w:spacing w:after="40"/>
        <w:jc w:val="both"/>
      </w:pPr>
      <w:r>
        <w:rPr>
          <w:rFonts w:ascii="Times New Roman" w:cs="Times New Roman" w:eastAsia="Times New Roman" w:hAnsi="Times New Roman"/>
          <w:b w:val="false"/>
          <w:bCs w:val="false"/>
          <w:sz w:val="22"/>
          <w:szCs w:val="22"/>
        </w:rPr>
        <w:t xml:space="preserve">- Luật Doanh nghiệp số 59/2020/QH14 và các văn bản hướng dẫn thi hành;</w:t>
      </w:r>
    </w:p>
    <w:p>
      <w:pPr>
        <w:spacing w:after="40"/>
        <w:jc w:val="both"/>
      </w:pPr>
      <w:r>
        <w:rPr>
          <w:rFonts w:ascii="Times New Roman" w:cs="Times New Roman" w:eastAsia="Times New Roman" w:hAnsi="Times New Roman"/>
          <w:b w:val="false"/>
          <w:bCs w:val="false"/>
          <w:sz w:val="22"/>
          <w:szCs w:val="22"/>
        </w:rPr>
        <w:t xml:space="preserve">- Luật Thuế thu nhập doanh nghiệp và các văn bản hướng dẫn liên quan;</w:t>
      </w:r>
    </w:p>
    <w:p>
      <w:pPr>
        <w:spacing w:after="40"/>
        <w:jc w:val="both"/>
      </w:pPr>
      <w:r>
        <w:rPr>
          <w:rFonts w:ascii="Times New Roman" w:cs="Times New Roman" w:eastAsia="Times New Roman" w:hAnsi="Times New Roman"/>
          <w:b w:val="false"/>
          <w:bCs w:val="false"/>
          <w:sz w:val="22"/>
          <w:szCs w:val="22"/>
        </w:rPr>
        <w:t xml:space="preserve">- Nghị định số 72/2023/NĐ-CP ngày 26/9/2023 của Chính phủ quy định tiêu chuẩn, định mức sử dụng xe ô tô (và các văn bản sửa đổi, bổ sung);</w:t>
      </w:r>
    </w:p>
    <w:p>
      <w:pPr>
        <w:spacing w:after="40"/>
        <w:jc w:val="both"/>
      </w:pPr>
      <w:r>
        <w:rPr>
          <w:rFonts w:ascii="Times New Roman" w:cs="Times New Roman" w:eastAsia="Times New Roman" w:hAnsi="Times New Roman"/>
          <w:b w:val="false"/>
          <w:bCs w:val="false"/>
          <w:sz w:val="22"/>
          <w:szCs w:val="22"/>
        </w:rPr>
        <w:t xml:space="preserve">- Chuẩn mực kế toán Việt Nam số 02 (VAS 02) về Hàng tồn kho;</w:t>
      </w:r>
    </w:p>
    <w:p>
      <w:pPr>
        <w:spacing w:after="40"/>
        <w:jc w:val="both"/>
      </w:pPr>
      <w:r>
        <w:rPr>
          <w:rFonts w:ascii="Times New Roman" w:cs="Times New Roman" w:eastAsia="Times New Roman" w:hAnsi="Times New Roman"/>
          <w:b w:val="false"/>
          <w:bCs w:val="false"/>
          <w:sz w:val="22"/>
          <w:szCs w:val="22"/>
        </w:rPr>
        <w:t xml:space="preserve">- Điều lệ tổ chức và hoạt động của Công ty Cổ phần Giong Việt Nam;</w:t>
      </w:r>
    </w:p>
    <w:p>
      <w:pPr>
        <w:spacing w:after="120"/>
        <w:jc w:val="both"/>
      </w:pPr>
      <w:r>
        <w:rPr>
          <w:rFonts w:ascii="Times New Roman" w:cs="Times New Roman" w:eastAsia="Times New Roman" w:hAnsi="Times New Roman"/>
          <w:b w:val="false"/>
          <w:bCs w:val="false"/>
          <w:sz w:val="22"/>
          <w:szCs w:val="22"/>
        </w:rPr>
        <w:t xml:space="preserve">- Nhu cầu thực tiễn trong công tác quản lý, kiểm soát chi phí vận chuyển nội bộ.</w:t>
      </w:r>
    </w:p>
    <w:p>
      <w:pPr>
        <w:spacing w:after="160"/>
        <w:jc w:val="both"/>
      </w:pPr>
      <w:r>
        <w:rPr>
          <w:rFonts w:ascii="Times New Roman" w:cs="Times New Roman" w:eastAsia="Times New Roman" w:hAnsi="Times New Roman"/>
          <w:b w:val="false"/>
          <w:bCs w:val="false"/>
          <w:sz w:val="24"/>
          <w:szCs w:val="24"/>
        </w:rPr>
        <w:t xml:space="preserve">Ban Giám đốc Công ty Cổ phần Giong Việt Nam ban hành Quy chế về chế độ và phương pháp tính phụ cấp vận chuyển nội bộ như sau:</w:t>
      </w:r>
    </w:p>
    <w:p>
      <w:pPr>
        <w:pStyle w:val="Heading1"/>
        <w:spacing w:after="120" w:before="240"/>
      </w:pPr>
      <w:r>
        <w:rPr>
          <w:rFonts w:ascii="Times New Roman" w:cs="Times New Roman" w:eastAsia="Times New Roman" w:hAnsi="Times New Roman"/>
          <w:b/>
          <w:bCs/>
          <w:sz w:val="28"/>
          <w:szCs w:val="28"/>
        </w:rPr>
        <w:t xml:space="preserve">ĐIỀU 1. PHẠM VI ĐIỀU CHỈNH VÀ ĐỐI TƯỢNG ÁP DỤNG</w:t>
      </w:r>
    </w:p>
    <w:p>
      <w:pPr>
        <w:spacing w:after="80"/>
        <w:jc w:val="both"/>
      </w:pPr>
      <w:r>
        <w:rPr>
          <w:rFonts w:ascii="Times New Roman" w:cs="Times New Roman" w:eastAsia="Times New Roman" w:hAnsi="Times New Roman"/>
          <w:b w:val="false"/>
          <w:bCs w:val="false"/>
          <w:sz w:val="24"/>
          <w:szCs w:val="24"/>
        </w:rPr>
        <w:t xml:space="preserve">1. Phạm vi điều chỉnh: Quy chế này quy định về chế độ phụ cấp vận chuyển nội bộ, phương pháp tính toán định mức, quy trình kiểm soát và lộ trình triển khai tại Công ty Cổ phần Giong Việt Nam.</w:t>
      </w:r>
    </w:p>
    <w:p>
      <w:pPr>
        <w:spacing w:after="60"/>
        <w:jc w:val="both"/>
      </w:pPr>
      <w:r>
        <w:rPr>
          <w:rFonts w:ascii="Times New Roman" w:cs="Times New Roman" w:eastAsia="Times New Roman" w:hAnsi="Times New Roman"/>
          <w:b w:val="false"/>
          <w:bCs w:val="false"/>
          <w:sz w:val="24"/>
          <w:szCs w:val="24"/>
        </w:rPr>
        <w:t xml:space="preserve">2. Đối tượng áp dụng:</w:t>
      </w:r>
    </w:p>
    <w:p>
      <w:pPr>
        <w:spacing w:after="40"/>
        <w:jc w:val="both"/>
      </w:pPr>
      <w:r>
        <w:rPr>
          <w:rFonts w:ascii="Times New Roman" w:cs="Times New Roman" w:eastAsia="Times New Roman" w:hAnsi="Times New Roman"/>
          <w:b w:val="false"/>
          <w:bCs w:val="false"/>
          <w:sz w:val="22"/>
          <w:szCs w:val="22"/>
        </w:rPr>
        <w:t xml:space="preserve">- Người lao động có nhiệm vụ vận chuyển hàng hóa, vật tư nội bộ giữa các địa điểm kinh doanh;</w:t>
      </w:r>
    </w:p>
    <w:p>
      <w:pPr>
        <w:spacing w:after="40"/>
        <w:jc w:val="both"/>
      </w:pPr>
      <w:r>
        <w:rPr>
          <w:rFonts w:ascii="Times New Roman" w:cs="Times New Roman" w:eastAsia="Times New Roman" w:hAnsi="Times New Roman"/>
          <w:b w:val="false"/>
          <w:bCs w:val="false"/>
          <w:sz w:val="22"/>
          <w:szCs w:val="22"/>
        </w:rPr>
        <w:t xml:space="preserve">- Người điều khiển phương tiện (xe máy, ô tô) thực hiện lệnh điều xe nội bộ;</w:t>
      </w:r>
    </w:p>
    <w:p>
      <w:pPr>
        <w:spacing w:after="120"/>
        <w:jc w:val="both"/>
      </w:pPr>
      <w:r>
        <w:rPr>
          <w:rFonts w:ascii="Times New Roman" w:cs="Times New Roman" w:eastAsia="Times New Roman" w:hAnsi="Times New Roman"/>
          <w:b w:val="false"/>
          <w:bCs w:val="false"/>
          <w:sz w:val="22"/>
          <w:szCs w:val="22"/>
        </w:rPr>
        <w:t xml:space="preserve">- Các phòng/ban liên quan: Hành chính, Kế toán, Kiểm soát nội bộ, Bảo vệ cổng và Ban Giám đốc.</w:t>
      </w:r>
    </w:p>
    <w:p>
      <w:pPr>
        <w:pStyle w:val="Heading1"/>
        <w:spacing w:after="120" w:before="240"/>
      </w:pPr>
      <w:r>
        <w:rPr>
          <w:rFonts w:ascii="Times New Roman" w:cs="Times New Roman" w:eastAsia="Times New Roman" w:hAnsi="Times New Roman"/>
          <w:b/>
          <w:bCs/>
          <w:sz w:val="28"/>
          <w:szCs w:val="28"/>
        </w:rPr>
        <w:t xml:space="preserve">ĐIỀU 2. MỤC ĐÍCH VÀ NGUYÊN TẮC</w:t>
      </w:r>
    </w:p>
    <w:p>
      <w:pPr>
        <w:spacing w:after="80"/>
        <w:jc w:val="both"/>
      </w:pPr>
      <w:r>
        <w:rPr>
          <w:rFonts w:ascii="Times New Roman" w:cs="Times New Roman" w:eastAsia="Times New Roman" w:hAnsi="Times New Roman"/>
          <w:b w:val="false"/>
          <w:bCs w:val="false"/>
          <w:sz w:val="24"/>
          <w:szCs w:val="24"/>
        </w:rPr>
        <w:t xml:space="preserve">1. Mục đích: Tuân thủ định mức pháp luật, tối ưu hóa nghĩa vụ thuế TNDN; thiết lập hệ thống kiểm soát ngăn chặn thất thoát tài sản; nâng cao hiệu suất vận tải nội bộ.</w:t>
      </w:r>
    </w:p>
    <w:p>
      <w:pPr>
        <w:spacing w:after="120"/>
        <w:jc w:val="both"/>
      </w:pPr>
      <w:r>
        <w:rPr>
          <w:rFonts w:ascii="Times New Roman" w:cs="Times New Roman" w:eastAsia="Times New Roman" w:hAnsi="Times New Roman"/>
          <w:b w:val="false"/>
          <w:bCs w:val="false"/>
          <w:sz w:val="24"/>
          <w:szCs w:val="24"/>
        </w:rPr>
        <w:t xml:space="preserve">2. Nguyên tắc: Công bằng, minh bạch, dựa trên dữ liệu thực tế (GPS/Google Maps); định mức khoa học; kiểm soát đa lớp; chi phí hợp lý, hợp lệ, có chứng từ đầy đủ.</w:t>
      </w:r>
    </w:p>
    <w:p>
      <w:pPr>
        <w:pStyle w:val="Heading1"/>
        <w:spacing w:after="120" w:before="240"/>
      </w:pPr>
      <w:r>
        <w:rPr>
          <w:rFonts w:ascii="Times New Roman" w:cs="Times New Roman" w:eastAsia="Times New Roman" w:hAnsi="Times New Roman"/>
          <w:b/>
          <w:bCs/>
          <w:sz w:val="28"/>
          <w:szCs w:val="28"/>
        </w:rPr>
        <w:t xml:space="preserve">ĐIỀU 3. CHẾ ĐỘ PHỤ CẤP VÀ HÌNH THỨC KHOÁN</w:t>
      </w:r>
    </w:p>
    <w:p>
      <w:pPr>
        <w:spacing w:after="80"/>
        <w:jc w:val="both"/>
      </w:pPr>
      <w:r>
        <w:rPr>
          <w:rFonts w:ascii="Times New Roman" w:cs="Times New Roman" w:eastAsia="Times New Roman" w:hAnsi="Times New Roman"/>
          <w:b w:val="false"/>
          <w:bCs w:val="false"/>
          <w:sz w:val="24"/>
          <w:szCs w:val="24"/>
        </w:rPr>
        <w:t xml:space="preserve">Công ty áp dụng hình thức khoán theo chuyến (mỗi lần lấy/giao hàng) đối với hai loại phương tiện: Xe máy và Ô tô. Mức khoán được tính trên cơ sở quãng đường 1 chiều theo số liệu đường bộ thực tế từ Google Maps. Chi tiết định mức và đơn giá được quy định tại Phụ lục 01 kèm theo Quy chế này.</w:t>
      </w:r>
    </w:p>
    <w:p>
      <w:pPr>
        <w:spacing w:after="120"/>
        <w:jc w:val="both"/>
      </w:pPr>
      <w:r>
        <w:rPr>
          <w:rFonts w:ascii="Times New Roman" w:cs="Times New Roman" w:eastAsia="Times New Roman" w:hAnsi="Times New Roman"/>
          <w:b w:val="false"/>
          <w:bCs w:val="false"/>
          <w:sz w:val="24"/>
          <w:szCs w:val="24"/>
        </w:rPr>
        <w:t xml:space="preserve">Áp dụng cho tất cả các tuyến đường giữa các điểm trong danh sách địa điểm của Công ty (không bắt buộc đi qua trung tâm cụm).</w:t>
      </w:r>
    </w:p>
    <w:p>
      <w:pPr>
        <w:pStyle w:val="Heading1"/>
        <w:spacing w:after="120" w:before="240"/>
      </w:pPr>
      <w:r>
        <w:rPr>
          <w:rFonts w:ascii="Times New Roman" w:cs="Times New Roman" w:eastAsia="Times New Roman" w:hAnsi="Times New Roman"/>
          <w:b/>
          <w:bCs/>
          <w:sz w:val="28"/>
          <w:szCs w:val="28"/>
        </w:rPr>
        <w:t xml:space="preserve">ĐIỀU 4. PHƯƠNG PHÁP TÍNH TOÁN VÀ ĐỊNH MỨC PHỤ CẤP</w:t>
      </w:r>
    </w:p>
    <w:p>
      <w:pPr>
        <w:spacing w:after="60"/>
        <w:jc w:val="both"/>
      </w:pPr>
      <w:r>
        <w:rPr>
          <w:rFonts w:ascii="Times New Roman" w:cs="Times New Roman" w:eastAsia="Times New Roman" w:hAnsi="Times New Roman"/>
          <w:b w:val="false"/>
          <w:bCs w:val="false"/>
          <w:sz w:val="24"/>
          <w:szCs w:val="24"/>
        </w:rPr>
        <w:t xml:space="preserve">1. Công thức tính (áp dụng cho cả chuyến 1 điểm và chuyến đa điểm):</w:t>
      </w:r>
    </w:p>
    <w:p>
      <w:pPr>
        <w:spacing w:after="80"/>
        <w:jc w:val="both"/>
      </w:pPr>
      <w:r>
        <w:rPr>
          <w:rFonts w:ascii="Times New Roman" w:cs="Times New Roman" w:eastAsia="Times New Roman" w:hAnsi="Times New Roman"/>
          <w:b/>
          <w:bCs/>
          <w:sz w:val="24"/>
          <w:szCs w:val="24"/>
        </w:rPr>
        <w:t xml:space="preserve">Tổng phụ cấp 1 chuyến = Phí mở chuyến (chỉ tính 1 lần) + (Tổng số km thực tế của cả lộ trình × Đơn giá/km)</w:t>
      </w:r>
    </w:p>
    <w:p>
      <w:pPr>
        <w:spacing w:after="60"/>
        <w:jc w:val="both"/>
      </w:pPr>
      <w:r>
        <w:rPr>
          <w:rFonts w:ascii="Times New Roman" w:cs="Times New Roman" w:eastAsia="Times New Roman" w:hAnsi="Times New Roman"/>
          <w:b w:val="false"/>
          <w:bCs w:val="false"/>
          <w:sz w:val="24"/>
          <w:szCs w:val="24"/>
        </w:rPr>
        <w:t xml:space="preserve">2. Đơn giá nội bộ (thấp hơn thị trường):</w:t>
      </w:r>
    </w:p>
    <w:p>
      <w:pPr>
        <w:spacing w:after="40"/>
        <w:jc w:val="both"/>
      </w:pPr>
      <w:r>
        <w:rPr>
          <w:rFonts w:ascii="Times New Roman" w:cs="Times New Roman" w:eastAsia="Times New Roman" w:hAnsi="Times New Roman"/>
          <w:b w:val="false"/>
          <w:bCs w:val="false"/>
          <w:sz w:val="22"/>
          <w:szCs w:val="22"/>
        </w:rPr>
        <w:t xml:space="preserve">- Xe máy: Phí mở chuyến 10.000 VNĐ + 4.000 VNĐ/km</w:t>
      </w:r>
    </w:p>
    <w:p>
      <w:pPr>
        <w:spacing w:after="80"/>
        <w:jc w:val="both"/>
      </w:pPr>
      <w:r>
        <w:rPr>
          <w:rFonts w:ascii="Times New Roman" w:cs="Times New Roman" w:eastAsia="Times New Roman" w:hAnsi="Times New Roman"/>
          <w:b w:val="false"/>
          <w:bCs w:val="false"/>
          <w:sz w:val="22"/>
          <w:szCs w:val="22"/>
        </w:rPr>
        <w:t xml:space="preserve">- Ô tô: Phí mở chuyến 20.000 VNĐ + 8.000 VNĐ/km</w:t>
      </w:r>
    </w:p>
    <w:p>
      <w:pPr>
        <w:spacing w:after="80"/>
        <w:jc w:val="both"/>
      </w:pPr>
      <w:r>
        <w:rPr>
          <w:rFonts w:ascii="Times New Roman" w:cs="Times New Roman" w:eastAsia="Times New Roman" w:hAnsi="Times New Roman"/>
          <w:b w:val="false"/>
          <w:bCs w:val="false"/>
          <w:sz w:val="24"/>
          <w:szCs w:val="24"/>
        </w:rPr>
        <w:t xml:space="preserve">3. Khi đi nhiều điểm liên tiếp trong cùng một chuyến: Phí mở chuyến chỉ tính 1 lần; các đoạn tiếp theo chỉ tính theo km thực tế.</w:t>
      </w:r>
    </w:p>
    <w:p>
      <w:pPr>
        <w:spacing w:after="120"/>
        <w:jc w:val="both"/>
      </w:pPr>
      <w:r>
        <w:rPr>
          <w:rFonts w:ascii="Times New Roman" w:cs="Times New Roman" w:eastAsia="Times New Roman" w:hAnsi="Times New Roman"/>
          <w:b w:val="false"/>
          <w:bCs w:val="false"/>
          <w:sz w:val="24"/>
          <w:szCs w:val="24"/>
        </w:rPr>
        <w:t xml:space="preserve">4. Chi tiết mức khoán theo từng tuyến được quy định tại Phụ lục 01.</w:t>
      </w:r>
    </w:p>
    <w:p>
      <w:pPr>
        <w:pStyle w:val="Heading1"/>
        <w:spacing w:after="120" w:before="240"/>
      </w:pPr>
      <w:r>
        <w:rPr>
          <w:rFonts w:ascii="Times New Roman" w:cs="Times New Roman" w:eastAsia="Times New Roman" w:hAnsi="Times New Roman"/>
          <w:b/>
          <w:bCs/>
          <w:sz w:val="28"/>
          <w:szCs w:val="28"/>
        </w:rPr>
        <w:t xml:space="preserve">ĐIỀU 5. QUY TRÌNH KIỂM SOÁT</w:t>
      </w:r>
    </w:p>
    <w:p>
      <w:pPr>
        <w:spacing w:after="120"/>
        <w:jc w:val="both"/>
      </w:pPr>
      <w:r>
        <w:rPr>
          <w:rFonts w:ascii="Times New Roman" w:cs="Times New Roman" w:eastAsia="Times New Roman" w:hAnsi="Times New Roman"/>
          <w:b w:val="false"/>
          <w:bCs w:val="false"/>
          <w:sz w:val="24"/>
          <w:szCs w:val="24"/>
        </w:rPr>
        <w:t xml:space="preserve">Mọi dữ liệu vận chuyển phải được xác thực qua các bước: Tiếp nhận &amp; phân loại → Kiểm tra chứng từ → Kiểm soát niêm phong &amp; Camera AI (nếu có) → Ghi nhận hệ thống → Kiểm soát an ninh lần cuối + kiểm tra ngẫu nhiên.</w:t>
      </w:r>
    </w:p>
    <w:p>
      <w:pPr>
        <w:pStyle w:val="Heading1"/>
        <w:spacing w:after="120" w:before="240"/>
      </w:pPr>
      <w:r>
        <w:rPr>
          <w:rFonts w:ascii="Times New Roman" w:cs="Times New Roman" w:eastAsia="Times New Roman" w:hAnsi="Times New Roman"/>
          <w:b/>
          <w:bCs/>
          <w:sz w:val="28"/>
          <w:szCs w:val="28"/>
        </w:rPr>
        <w:t xml:space="preserve">ĐIỀU 6. TRÁCH NHIỆM CỦA CÁC BÊN</w:t>
      </w:r>
    </w:p>
    <w:p>
      <w:pPr>
        <w:spacing w:after="40"/>
        <w:jc w:val="both"/>
      </w:pPr>
      <w:r>
        <w:rPr>
          <w:rFonts w:ascii="Times New Roman" w:cs="Times New Roman" w:eastAsia="Times New Roman" w:hAnsi="Times New Roman"/>
          <w:b w:val="false"/>
          <w:bCs w:val="false"/>
          <w:sz w:val="22"/>
          <w:szCs w:val="22"/>
        </w:rPr>
        <w:t xml:space="preserve">1. Bộ phận Hành chính: Lập và cập nhật định mức khoán theo Phụ lục 01; theo dõi lệnh điều xe.</w:t>
      </w:r>
    </w:p>
    <w:p>
      <w:pPr>
        <w:spacing w:after="40"/>
        <w:jc w:val="both"/>
      </w:pPr>
      <w:r>
        <w:rPr>
          <w:rFonts w:ascii="Times New Roman" w:cs="Times New Roman" w:eastAsia="Times New Roman" w:hAnsi="Times New Roman"/>
          <w:b w:val="false"/>
          <w:bCs w:val="false"/>
          <w:sz w:val="22"/>
          <w:szCs w:val="22"/>
        </w:rPr>
        <w:t xml:space="preserve">2. Bộ phận Kế toán: Kiểm tra chứng từ, hạch toán chi phí theo định mức Phụ lục 01.</w:t>
      </w:r>
    </w:p>
    <w:p>
      <w:pPr>
        <w:spacing w:after="40"/>
        <w:jc w:val="both"/>
      </w:pPr>
      <w:r>
        <w:rPr>
          <w:rFonts w:ascii="Times New Roman" w:cs="Times New Roman" w:eastAsia="Times New Roman" w:hAnsi="Times New Roman"/>
          <w:b w:val="false"/>
          <w:bCs w:val="false"/>
          <w:sz w:val="22"/>
          <w:szCs w:val="22"/>
        </w:rPr>
        <w:t xml:space="preserve">3. Bộ phận Kiểm soát nội bộ &amp; Bảo vệ: Thực hiện kiểm soát theo quy trình.</w:t>
      </w:r>
    </w:p>
    <w:p>
      <w:pPr>
        <w:spacing w:after="40"/>
        <w:jc w:val="both"/>
      </w:pPr>
      <w:r>
        <w:rPr>
          <w:rFonts w:ascii="Times New Roman" w:cs="Times New Roman" w:eastAsia="Times New Roman" w:hAnsi="Times New Roman"/>
          <w:b w:val="false"/>
          <w:bCs w:val="false"/>
          <w:sz w:val="22"/>
          <w:szCs w:val="22"/>
        </w:rPr>
        <w:t xml:space="preserve">4. Người nhận khoán: Tuân thủ lệnh điều xe, khai báo trung thực, phối hợp kiểm tra.</w:t>
      </w:r>
    </w:p>
    <w:p>
      <w:pPr>
        <w:spacing w:after="120"/>
        <w:jc w:val="both"/>
      </w:pPr>
      <w:r>
        <w:rPr>
          <w:rFonts w:ascii="Times New Roman" w:cs="Times New Roman" w:eastAsia="Times New Roman" w:hAnsi="Times New Roman"/>
          <w:b w:val="false"/>
          <w:bCs w:val="false"/>
          <w:sz w:val="22"/>
          <w:szCs w:val="22"/>
        </w:rPr>
        <w:t xml:space="preserve">5. Ban Giám đốc: Phê duyệt định mức, quyết định điều chỉnh khi cần thiết.</w:t>
      </w:r>
    </w:p>
    <w:p>
      <w:pPr>
        <w:pStyle w:val="Heading1"/>
        <w:spacing w:after="120" w:before="240"/>
      </w:pPr>
      <w:r>
        <w:rPr>
          <w:rFonts w:ascii="Times New Roman" w:cs="Times New Roman" w:eastAsia="Times New Roman" w:hAnsi="Times New Roman"/>
          <w:b/>
          <w:bCs/>
          <w:sz w:val="28"/>
          <w:szCs w:val="28"/>
        </w:rPr>
        <w:t xml:space="preserve">ĐIỀU 7. ĐIỀU KHOẢN THI HÀNH</w:t>
      </w:r>
    </w:p>
    <w:p>
      <w:pPr>
        <w:spacing w:after="40"/>
        <w:jc w:val="both"/>
      </w:pPr>
      <w:r>
        <w:rPr>
          <w:rFonts w:ascii="Times New Roman" w:cs="Times New Roman" w:eastAsia="Times New Roman" w:hAnsi="Times New Roman"/>
          <w:b w:val="false"/>
          <w:bCs w:val="false"/>
          <w:sz w:val="22"/>
          <w:szCs w:val="22"/>
        </w:rPr>
        <w:t xml:space="preserve">1. Quy chế này và Phụ lục 01 kèm theo có hiệu lực kể từ ngày được Ban Giám đốc ký ban hành.</w:t>
      </w:r>
    </w:p>
    <w:p>
      <w:pPr>
        <w:spacing w:after="40"/>
        <w:jc w:val="both"/>
      </w:pPr>
      <w:r>
        <w:rPr>
          <w:rFonts w:ascii="Times New Roman" w:cs="Times New Roman" w:eastAsia="Times New Roman" w:hAnsi="Times New Roman"/>
          <w:b w:val="false"/>
          <w:bCs w:val="false"/>
          <w:sz w:val="22"/>
          <w:szCs w:val="22"/>
        </w:rPr>
        <w:t xml:space="preserve">2. Các phòng/ban, đơn vị và cá nhân có liên quan có trách nhiệm thi hành nghiêm túc.</w:t>
      </w:r>
    </w:p>
    <w:p>
      <w:pPr>
        <w:spacing w:after="40"/>
        <w:jc w:val="both"/>
      </w:pPr>
      <w:r>
        <w:rPr>
          <w:rFonts w:ascii="Times New Roman" w:cs="Times New Roman" w:eastAsia="Times New Roman" w:hAnsi="Times New Roman"/>
          <w:b w:val="false"/>
          <w:bCs w:val="false"/>
          <w:sz w:val="22"/>
          <w:szCs w:val="22"/>
        </w:rPr>
        <w:t xml:space="preserve">3. Trong quá trình thực hiện, nếu phát sinh vướng mắc hoặc cần điều chỉnh định mức, các đơn vị phản ánh về Bộ phận Hành chính để tổng hợp, trình Ban Giám đốc xem xét, quyết định.</w:t>
      </w:r>
    </w:p>
    <w:p>
      <w:pPr>
        <w:spacing w:after="160"/>
        <w:jc w:val="both"/>
      </w:pPr>
      <w:r>
        <w:rPr>
          <w:rFonts w:ascii="Times New Roman" w:cs="Times New Roman" w:eastAsia="Times New Roman" w:hAnsi="Times New Roman"/>
          <w:b w:val="false"/>
          <w:bCs w:val="false"/>
          <w:sz w:val="22"/>
          <w:szCs w:val="22"/>
        </w:rPr>
        <w:t xml:space="preserve">4. Những quy định trước đây trái với Quy chế này đều bị bãi bỏ.</w:t>
      </w:r>
    </w:p>
    <w:p>
      <w:pPr>
        <w:spacing w:after="40"/>
        <w:jc w:val="both"/>
      </w:pPr>
      <w:r>
        <w:rPr>
          <w:rFonts w:ascii="Times New Roman" w:cs="Times New Roman" w:eastAsia="Times New Roman" w:hAnsi="Times New Roman"/>
          <w:b/>
          <w:bCs/>
          <w:sz w:val="22"/>
          <w:szCs w:val="22"/>
        </w:rPr>
        <w:t xml:space="preserve">Nơi nhận:</w:t>
      </w:r>
    </w:p>
    <w:p>
      <w:pPr>
        <w:spacing w:after="20"/>
        <w:jc w:val="both"/>
      </w:pPr>
      <w:r>
        <w:rPr>
          <w:rFonts w:ascii="Times New Roman" w:cs="Times New Roman" w:eastAsia="Times New Roman" w:hAnsi="Times New Roman"/>
          <w:b w:val="false"/>
          <w:bCs w:val="false"/>
          <w:sz w:val="20"/>
          <w:szCs w:val="20"/>
        </w:rPr>
        <w:t xml:space="preserve">- Như Điều 1 (để thực hiện);</w:t>
      </w:r>
    </w:p>
    <w:p>
      <w:pPr>
        <w:spacing w:after="200"/>
        <w:jc w:val="both"/>
      </w:pPr>
      <w:r>
        <w:rPr>
          <w:rFonts w:ascii="Times New Roman" w:cs="Times New Roman" w:eastAsia="Times New Roman" w:hAnsi="Times New Roman"/>
          <w:b w:val="false"/>
          <w:bCs w:val="false"/>
          <w:sz w:val="20"/>
          <w:szCs w:val="20"/>
        </w:rPr>
        <w:t xml:space="preserve">- Lưu: VT, HC, KT.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NGƯỜI LẬP
(Ký và ghi rõ họ tên)</w:t>
            </w:r>
          </w:p>
        </w:tc>
        <w:tc>
          <w:tcPr>
            <w:tcW w:type="dxa" w:w="2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KẾ TOÁN
(Ký và ghi rõ họ tên)</w:t>
            </w:r>
          </w:p>
        </w:tc>
        <w:tc>
          <w:tcPr>
            <w:tcW w:type="dxa" w:w="2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HÀNH CHÍNH
(Ký và ghi rõ họ tên)</w:t>
            </w:r>
          </w:p>
        </w:tc>
        <w:tc>
          <w:tcPr>
            <w:tcW w:type="dxa" w:w="2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BAN GIÁM ĐỐC
(Ký và ghi rõ họ tên)</w:t>
            </w:r>
          </w:p>
        </w:tc>
      </w:tr>
    </w:tbl>
    <w:p>
      <w:pPr>
        <w:spacing w:before="400"/>
      </w:pPr>
    </w:p>
    <w:p>
      <w:pPr>
        <w:spacing w:after="40"/>
        <w:jc w:val="center"/>
      </w:pPr>
      <w:r>
        <w:rPr>
          <w:rFonts w:ascii="Times New Roman" w:cs="Times New Roman" w:eastAsia="Times New Roman" w:hAnsi="Times New Roman"/>
          <w:b/>
          <w:bCs/>
          <w:sz w:val="24"/>
          <w:szCs w:val="24"/>
        </w:rPr>
        <w:t xml:space="preserve">TM. BAN GIÁM ĐỐC</w:t>
      </w:r>
    </w:p>
    <w:p>
      <w:pPr>
        <w:spacing w:after="40"/>
        <w:jc w:val="center"/>
      </w:pPr>
      <w:r>
        <w:rPr>
          <w:rFonts w:ascii="Times New Roman" w:cs="Times New Roman" w:eastAsia="Times New Roman" w:hAnsi="Times New Roman"/>
          <w:b/>
          <w:bCs/>
          <w:sz w:val="24"/>
          <w:szCs w:val="24"/>
        </w:rPr>
        <w:t xml:space="preserve">GIÁM ĐỐC</w:t>
      </w:r>
    </w:p>
    <w:p>
      <w:pPr>
        <w:spacing w:after="200"/>
        <w:jc w:val="center"/>
      </w:pPr>
      <w:r>
        <w:rPr>
          <w:rFonts w:ascii="Times New Roman" w:cs="Times New Roman" w:eastAsia="Times New Roman" w:hAnsi="Times New Roman"/>
          <w:b w:val="false"/>
          <w:bCs w:val="false"/>
          <w:sz w:val="20"/>
          <w:szCs w:val="20"/>
        </w:rPr>
        <w:t xml:space="preserve">(Ký, ghi rõ họ tên và đóng dấu)</w:t>
      </w:r>
    </w:p>
    <w:p>
      <w:pPr>
        <w:pageBreakBefore/>
      </w:pPr>
    </w:p>
    <w:p>
      <w:pPr>
        <w:spacing w:after="60"/>
        <w:jc w:val="center"/>
      </w:pPr>
      <w:r>
        <w:rPr>
          <w:rFonts w:ascii="Times New Roman" w:cs="Times New Roman" w:eastAsia="Times New Roman" w:hAnsi="Times New Roman"/>
          <w:b/>
          <w:bCs/>
          <w:sz w:val="28"/>
          <w:szCs w:val="28"/>
        </w:rPr>
        <w:t xml:space="preserve">PHỤ LỤC 01</w:t>
      </w:r>
    </w:p>
    <w:p>
      <w:pPr>
        <w:spacing w:after="20"/>
        <w:jc w:val="center"/>
      </w:pPr>
      <w:r>
        <w:rPr>
          <w:rFonts w:ascii="Times New Roman" w:cs="Times New Roman" w:eastAsia="Times New Roman" w:hAnsi="Times New Roman"/>
          <w:b w:val="false"/>
          <w:bCs w:val="false"/>
          <w:sz w:val="20"/>
          <w:szCs w:val="20"/>
        </w:rPr>
        <w:t xml:space="preserve">(Kèm theo Quy chế về chế độ và phương pháp tính phụ cấp vận chuyển nội bộ</w:t>
      </w:r>
    </w:p>
    <w:p>
      <w:pPr>
        <w:spacing w:after="160"/>
        <w:jc w:val="center"/>
      </w:pPr>
      <w:r>
        <w:rPr>
          <w:rFonts w:ascii="Times New Roman" w:cs="Times New Roman" w:eastAsia="Times New Roman" w:hAnsi="Times New Roman"/>
          <w:b w:val="false"/>
          <w:bCs w:val="false"/>
          <w:sz w:val="20"/>
          <w:szCs w:val="20"/>
        </w:rPr>
        <w:t xml:space="preserve">của Công ty Cổ phần Giong Việt Nam)</w:t>
      </w:r>
    </w:p>
    <w:p>
      <w:pPr>
        <w:spacing w:after="160"/>
        <w:jc w:val="center"/>
      </w:pPr>
      <w:r>
        <w:rPr>
          <w:rFonts w:ascii="Times New Roman" w:cs="Times New Roman" w:eastAsia="Times New Roman" w:hAnsi="Times New Roman"/>
          <w:b/>
          <w:bCs/>
          <w:sz w:val="26"/>
          <w:szCs w:val="26"/>
        </w:rPr>
        <w:t xml:space="preserve">BẢNG ĐỊNH MỨC VÀ ĐƠN GIÁ KHOÁN PHỤ CẤP VẬN CHUYỂN NỘI BỘ</w:t>
      </w:r>
    </w:p>
    <w:p>
      <w:pPr>
        <w:pStyle w:val="Heading2"/>
        <w:spacing w:after="120" w:before="240"/>
      </w:pPr>
      <w:r>
        <w:rPr>
          <w:rFonts w:ascii="Times New Roman" w:cs="Times New Roman" w:eastAsia="Times New Roman" w:hAnsi="Times New Roman"/>
          <w:b/>
          <w:bCs/>
          <w:sz w:val="26"/>
          <w:szCs w:val="26"/>
        </w:rPr>
        <w:t xml:space="preserve">I. NGUYÊN TẮC ÁP DỤNG</w:t>
      </w:r>
    </w:p>
    <w:p>
      <w:pPr>
        <w:spacing w:after="40"/>
        <w:jc w:val="both"/>
      </w:pPr>
      <w:r>
        <w:rPr>
          <w:rFonts w:ascii="Times New Roman" w:cs="Times New Roman" w:eastAsia="Times New Roman" w:hAnsi="Times New Roman"/>
          <w:b w:val="false"/>
          <w:bCs w:val="false"/>
          <w:sz w:val="22"/>
          <w:szCs w:val="22"/>
        </w:rPr>
        <w:t xml:space="preserve">1. Hình thức khoán: Theo chuyến (mỗi lần lấy/giao hàng).</w:t>
      </w:r>
    </w:p>
    <w:p>
      <w:pPr>
        <w:spacing w:after="40"/>
        <w:jc w:val="both"/>
      </w:pPr>
      <w:r>
        <w:rPr>
          <w:rFonts w:ascii="Times New Roman" w:cs="Times New Roman" w:eastAsia="Times New Roman" w:hAnsi="Times New Roman"/>
          <w:b w:val="false"/>
          <w:bCs w:val="false"/>
          <w:sz w:val="22"/>
          <w:szCs w:val="22"/>
        </w:rPr>
        <w:t xml:space="preserve">2. Cách tính: Chỉ tính quãng đường 1 chiều (không tính chiều về). Km lấy theo đường bộ thực tế từ Google Maps.</w:t>
      </w:r>
    </w:p>
    <w:p>
      <w:pPr>
        <w:spacing w:after="40"/>
        <w:jc w:val="both"/>
      </w:pPr>
      <w:r>
        <w:rPr>
          <w:rFonts w:ascii="Times New Roman" w:cs="Times New Roman" w:eastAsia="Times New Roman" w:hAnsi="Times New Roman"/>
          <w:b w:val="false"/>
          <w:bCs w:val="false"/>
          <w:sz w:val="22"/>
          <w:szCs w:val="22"/>
        </w:rPr>
        <w:t xml:space="preserve">3. Hàng hóa áp dụng: Vật tư tiêu hao ngành y tế tiêm chủng mở rộng (bông, băng gạc, cốc giấy, giấy vệ sinh, bơm tiêm, mũi tiêm…).</w:t>
      </w:r>
    </w:p>
    <w:p>
      <w:pPr>
        <w:spacing w:after="40"/>
        <w:jc w:val="both"/>
      </w:pPr>
      <w:r>
        <w:rPr>
          <w:rFonts w:ascii="Times New Roman" w:cs="Times New Roman" w:eastAsia="Times New Roman" w:hAnsi="Times New Roman"/>
          <w:b w:val="false"/>
          <w:bCs w:val="false"/>
          <w:sz w:val="22"/>
          <w:szCs w:val="22"/>
        </w:rPr>
        <w:t xml:space="preserve">4. Phương tiện: Xe máy và Ô tô (cá nhân được Công ty khoán). Áp dụng cho cả hai loại phương tiện trên tất cả các tuyến.</w:t>
      </w:r>
    </w:p>
    <w:p>
      <w:pPr>
        <w:spacing w:after="40"/>
        <w:jc w:val="both"/>
      </w:pPr>
      <w:r>
        <w:rPr>
          <w:rFonts w:ascii="Times New Roman" w:cs="Times New Roman" w:eastAsia="Times New Roman" w:hAnsi="Times New Roman"/>
          <w:b w:val="false"/>
          <w:bCs w:val="false"/>
          <w:sz w:val="22"/>
          <w:szCs w:val="22"/>
        </w:rPr>
        <w:t xml:space="preserve">5. Đơn giá nội bộ:</w:t>
      </w:r>
    </w:p>
    <w:p>
      <w:pPr>
        <w:spacing w:after="30"/>
        <w:jc w:val="both"/>
      </w:pPr>
      <w:r>
        <w:rPr>
          <w:rFonts w:ascii="Times New Roman" w:cs="Times New Roman" w:eastAsia="Times New Roman" w:hAnsi="Times New Roman"/>
          <w:b w:val="false"/>
          <w:bCs w:val="false"/>
          <w:sz w:val="22"/>
          <w:szCs w:val="22"/>
        </w:rPr>
        <w:t xml:space="preserve">   - Xe máy: Phí mở chuyến 10.000 VNĐ + 4.000 VNĐ/km</w:t>
      </w:r>
    </w:p>
    <w:p>
      <w:pPr>
        <w:spacing w:after="40"/>
        <w:jc w:val="both"/>
      </w:pPr>
      <w:r>
        <w:rPr>
          <w:rFonts w:ascii="Times New Roman" w:cs="Times New Roman" w:eastAsia="Times New Roman" w:hAnsi="Times New Roman"/>
          <w:b w:val="false"/>
          <w:bCs w:val="false"/>
          <w:sz w:val="22"/>
          <w:szCs w:val="22"/>
        </w:rPr>
        <w:t xml:space="preserve">   - Ô tô: Phí mở chuyến 20.000 VNĐ + 8.000 VNĐ/km</w:t>
      </w:r>
    </w:p>
    <w:p>
      <w:pPr>
        <w:spacing w:after="40"/>
        <w:jc w:val="both"/>
      </w:pPr>
      <w:r>
        <w:rPr>
          <w:rFonts w:ascii="Times New Roman" w:cs="Times New Roman" w:eastAsia="Times New Roman" w:hAnsi="Times New Roman"/>
          <w:b w:val="false"/>
          <w:bCs w:val="false"/>
          <w:sz w:val="22"/>
          <w:szCs w:val="22"/>
        </w:rPr>
        <w:t xml:space="preserve">6. Khi đi nhiều điểm liên tiếp: Phí mở chuyến chỉ tính 1 lần; các đoạn sau chỉ tính theo km.</w:t>
      </w:r>
    </w:p>
    <w:p>
      <w:pPr>
        <w:spacing w:after="40"/>
        <w:jc w:val="both"/>
      </w:pPr>
      <w:r>
        <w:rPr>
          <w:rFonts w:ascii="Times New Roman" w:cs="Times New Roman" w:eastAsia="Times New Roman" w:hAnsi="Times New Roman"/>
          <w:b w:val="false"/>
          <w:bCs w:val="false"/>
          <w:sz w:val="22"/>
          <w:szCs w:val="22"/>
        </w:rPr>
        <w:t xml:space="preserve">7. Không áp dụng khoán đối với các điểm Long Biên, Ngọc Lâm, Sài Đồng (gần Văn phòng Công ty).</w:t>
      </w:r>
    </w:p>
    <w:p>
      <w:pPr>
        <w:spacing w:after="120"/>
        <w:jc w:val="both"/>
      </w:pPr>
      <w:r>
        <w:rPr>
          <w:rFonts w:ascii="Times New Roman" w:cs="Times New Roman" w:eastAsia="Times New Roman" w:hAnsi="Times New Roman"/>
          <w:b w:val="false"/>
          <w:bCs w:val="false"/>
          <w:sz w:val="22"/>
          <w:szCs w:val="22"/>
        </w:rPr>
        <w:t xml:space="preserve">8. Phụ phí: Ban đêm/ngoài giờ hành chính (+15%); Lễ, Tết (+20%).</w:t>
      </w:r>
    </w:p>
    <w:p>
      <w:pPr>
        <w:pStyle w:val="Heading2"/>
        <w:spacing w:after="120" w:before="240"/>
      </w:pPr>
      <w:r>
        <w:rPr>
          <w:rFonts w:ascii="Times New Roman" w:cs="Times New Roman" w:eastAsia="Times New Roman" w:hAnsi="Times New Roman"/>
          <w:b/>
          <w:bCs/>
          <w:sz w:val="26"/>
          <w:szCs w:val="26"/>
        </w:rPr>
        <w:t xml:space="preserve">II. BẢNG KHOÁN THEO TỪNG TUYẾN ĐƯỜNG (ÁP DỤNG CẢ XE MÁY VÀ Ô TÔ)</w:t>
      </w:r>
    </w:p>
    <w:p>
      <w:pPr>
        <w:spacing w:after="120"/>
        <w:jc w:val="both"/>
      </w:pPr>
      <w:r>
        <w:rPr>
          <w:rFonts w:ascii="Times New Roman" w:cs="Times New Roman" w:eastAsia="Times New Roman" w:hAnsi="Times New Roman"/>
          <w:b w:val="false"/>
          <w:bCs w:val="false"/>
          <w:sz w:val="20"/>
          <w:szCs w:val="20"/>
        </w:rPr>
        <w:t xml:space="preserve">Mức khoán dưới đây đã bao gồm phí mở chuyến, tính cho trường hợp đi 1 điểm duy nhất. Khi đi nhiều điểm, áp dụng công thức tại Điều 4 của Quy chế.</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1400"/>
        <w:gridCol w:w="1400"/>
      </w:tblGrid>
      <w:tr>
        <w:tc>
          <w:tcPr>
            <w:tcW w:type="dxa" w:w="600"/>
            <w:tcBorders>
              <w:top w:val="single" w:color="000000" w:sz="4"/>
              <w:left w:val="single" w:color="000000" w:sz="4"/>
              <w:bottom w:val="single" w:color="000000" w:sz="4"/>
              <w:right w:val="single" w:color="000000" w:sz="4"/>
            </w:tcBorders>
            <w:shd w:fill="1F4E7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STT</w:t>
            </w:r>
          </w:p>
        </w:tc>
        <w:tc>
          <w:tcPr>
            <w:tcW w:type="dxa" w:w="3200"/>
            <w:tcBorders>
              <w:top w:val="single" w:color="000000" w:sz="4"/>
              <w:left w:val="single" w:color="000000" w:sz="4"/>
              <w:bottom w:val="single" w:color="000000" w:sz="4"/>
              <w:right w:val="single" w:color="000000" w:sz="4"/>
            </w:tcBorders>
            <w:shd w:fill="1F4E7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Tuyến đường</w:t>
            </w:r>
          </w:p>
        </w:tc>
        <w:tc>
          <w:tcPr>
            <w:tcW w:type="dxa" w:w="1200"/>
            <w:tcBorders>
              <w:top w:val="single" w:color="000000" w:sz="4"/>
              <w:left w:val="single" w:color="000000" w:sz="4"/>
              <w:bottom w:val="single" w:color="000000" w:sz="4"/>
              <w:right w:val="single" w:color="000000" w:sz="4"/>
            </w:tcBorders>
            <w:shd w:fill="1F4E7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Km 1 chiều</w:t>
            </w:r>
          </w:p>
        </w:tc>
        <w:tc>
          <w:tcPr>
            <w:tcW w:type="dxa" w:w="1400"/>
            <w:tcBorders>
              <w:top w:val="single" w:color="000000" w:sz="4"/>
              <w:left w:val="single" w:color="000000" w:sz="4"/>
              <w:bottom w:val="single" w:color="000000" w:sz="4"/>
              <w:right w:val="single" w:color="000000" w:sz="4"/>
            </w:tcBorders>
            <w:shd w:fill="1F4E7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Xe máy (VNĐ)</w:t>
            </w:r>
          </w:p>
        </w:tc>
        <w:tc>
          <w:tcPr>
            <w:tcW w:type="dxa" w:w="1400"/>
            <w:tcBorders>
              <w:top w:val="single" w:color="000000" w:sz="4"/>
              <w:left w:val="single" w:color="000000" w:sz="4"/>
              <w:bottom w:val="single" w:color="000000" w:sz="4"/>
              <w:right w:val="single" w:color="000000" w:sz="4"/>
            </w:tcBorders>
            <w:shd w:fill="1F4E7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Ô tô (VNĐ)</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Văn phòng (Ngọc Lâm) → Từ Sơn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12.2</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59.000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118.000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Văn phòng (Ngọc Lâm) → Hương Mạc</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19.4</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88.000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175.000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Văn phòng (Ngọc Lâm) → Tiên Du</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21.4</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96.000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191.000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Văn phòng (Ngọc Lâm) → Mê Linh</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30.9</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134.000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267.000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5</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Văn phòng (Ngọc Lâm) → Tiền Phong</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22.9</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102.000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203.000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6</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Văn phòng (Ngọc Lâm) → Phúc Yên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35.7</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153.000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306.000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7</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Văn phòng (Ngọc Lâm) → Chi Đông</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28.1</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122.000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245.000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Văn phòng (Ngọc Lâm) → Thạch Đà</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32.8</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141.000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282.000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Văn phòng (Ngọc Lâm) → Tâm An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16.2</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75.000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150.000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10</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Văn phòng (Ngọc Lâm) → Liên Mạc</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36.9</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158.000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315.000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11</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Văn phòng (Ngọc Lâm) → Đồng Xuân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38.3</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163.000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326.000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12</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Văn phòng (Ngọc Lâm) → Bích Hòa</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39.8</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169.000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338.000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13</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Văn phòng (Ngọc Lâm) → Thanh Oai</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38.6</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164.000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329.000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14</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Văn phòng (Ngọc Lâm) → Thanh Thùy</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38.5</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164.000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328.000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15</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Văn phòng (Ngọc Lâm) → Quốc Oai</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30.4</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132.000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263.000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16</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Từ Sơn → Hương Mạc</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7.6</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40.000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81.000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17</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Từ Sơn → Tiên Du</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5.6</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32.000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65.000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18</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Hương Mạc → Tiên Du</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12.0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58.000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116.000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19</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Mê Linh → Tiền Phong</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9.2</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47.000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94.000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20</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Mê Linh → Phúc Yên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5.0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30.000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60.000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21</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Mê Linh → Chi Đông</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8.2</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43.000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86.000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22</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Mê Linh → Thạch Đà</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4.6</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28.000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57.000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23</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Mê Linh → Tâm An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17.7</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81.000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162.000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24</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Mê Linh → Liên Mạc</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8.3</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43.000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86.000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25</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Mê Linh → Đồng Xuân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9.8</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49.000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98.000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26</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Tiền Phong → Phúc Yên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14.0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66.000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132.000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27</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Tiền Phong → Chi Đông</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9.2</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47.000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94.000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28</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Tiền Phong → Thạch Đà</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11.5</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56.000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112.000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29</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Tiền Phong → Tâm An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8.9</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46.000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91.000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30</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Tiền Phong → Liên Mạc</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15.7</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73.000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146.000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31</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Tiền Phong → Đồng Xuân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18.0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82.000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164.000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32</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Phúc Yên → Chi Đông</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8.4</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44.000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87.000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33</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Phúc Yên → Thạch Đà</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8.5</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44.000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88.000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34</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Phúc Yên → Tâm An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20.7</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93.000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186.000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35</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Phúc Yên → Liên Mạc</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42.000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84.000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36</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Phúc Yên → Đồng Xuân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7.5</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40.000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80.000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37</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Chi Đông → Thạch Đà</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12.7</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61.000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122.000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38</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Chi Đông → Tâm An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13.9</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66.000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131.000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39</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Chi Đông → Liên Mạc</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16.5</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76.000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152.000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40</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Chi Đông → Đồng Xuân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10.5</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52.000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104.000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41</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Thạch Đà → Tâm An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20.9</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94.000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187.000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42</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Thạch Đà → Liên Mạc</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5.3</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31.000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62.000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43</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Thạch Đà → Đồng Xuân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17.1</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78.000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157.000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44</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Tâm An → Liên Mạc</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21.8</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97.000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194.000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45</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Tâm An → Đồng Xuân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23.7</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105.000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210.000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46</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Liên Mạc → Đồng Xuân</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14.8</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69.000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138.000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47</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Bích Hòa → Thanh Oai</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5.2</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31.000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62.000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48</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Bích Hòa → Thanh Thùy</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42.000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84.000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49</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Bích Hòa → Quốc Oai</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13.7</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65.000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130.000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50</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Thanh Oai → Thanh Thùy</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7.5</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40.000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80.000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51</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Thanh Oai → Quốc Oai</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90.000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180.000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52</w:t>
            </w:r>
          </w:p>
        </w:tc>
        <w:tc>
          <w:tcPr>
            <w:tcW w:type="dxa" w:w="3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Thanh Thùy → Quốc Oai</w:t>
            </w:r>
          </w:p>
        </w:tc>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22.7</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101.000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202.000</w:t>
            </w:r>
          </w:p>
        </w:tc>
      </w:tr>
    </w:tbl>
    <w:p>
      <w:pPr>
        <w:spacing w:before="200"/>
      </w:pPr>
    </w:p>
    <w:p>
      <w:pPr>
        <w:pStyle w:val="Heading2"/>
        <w:spacing w:after="120" w:before="240"/>
      </w:pPr>
      <w:r>
        <w:rPr>
          <w:rFonts w:ascii="Times New Roman" w:cs="Times New Roman" w:eastAsia="Times New Roman" w:hAnsi="Times New Roman"/>
          <w:b/>
          <w:bCs/>
          <w:sz w:val="26"/>
          <w:szCs w:val="26"/>
        </w:rPr>
        <w:t xml:space="preserve">III. GHI CHÚ VÀ HƯỚNG DẪN THỰC HIỆN</w:t>
      </w:r>
    </w:p>
    <w:p>
      <w:pPr>
        <w:spacing w:after="40"/>
        <w:jc w:val="both"/>
      </w:pPr>
      <w:r>
        <w:rPr>
          <w:rFonts w:ascii="Times New Roman" w:cs="Times New Roman" w:eastAsia="Times New Roman" w:hAnsi="Times New Roman"/>
          <w:b w:val="false"/>
          <w:bCs w:val="false"/>
          <w:sz w:val="22"/>
          <w:szCs w:val="22"/>
        </w:rPr>
        <w:t xml:space="preserve">1. Mỗi chuyến lấy hàng được khoán 01 lần theo mức tương ứng (tính 1 chiều), có xác nhận GPS hoặc hình ảnh + chữ ký nhận hàng của trung tâm.</w:t>
      </w:r>
    </w:p>
    <w:p>
      <w:pPr>
        <w:spacing w:after="40"/>
        <w:jc w:val="both"/>
      </w:pPr>
      <w:r>
        <w:rPr>
          <w:rFonts w:ascii="Times New Roman" w:cs="Times New Roman" w:eastAsia="Times New Roman" w:hAnsi="Times New Roman"/>
          <w:b w:val="false"/>
          <w:bCs w:val="false"/>
          <w:sz w:val="22"/>
          <w:szCs w:val="22"/>
        </w:rPr>
        <w:t xml:space="preserve">2. Ưu tiên phương tiện: Đơn nhỏ/gấp/1–2 điểm → Xe máy; Đơn lớn/nhiều thùng/nhiều điểm → Ô tô.</w:t>
      </w:r>
    </w:p>
    <w:p>
      <w:pPr>
        <w:spacing w:after="40"/>
        <w:jc w:val="both"/>
      </w:pPr>
      <w:r>
        <w:rPr>
          <w:rFonts w:ascii="Times New Roman" w:cs="Times New Roman" w:eastAsia="Times New Roman" w:hAnsi="Times New Roman"/>
          <w:b w:val="false"/>
          <w:bCs w:val="false"/>
          <w:sz w:val="22"/>
          <w:szCs w:val="22"/>
        </w:rPr>
        <w:t xml:space="preserve">3. Chứng từ tối thiểu: Lệnh điều xe + Phiếu xuất kho nội bộ + Xác nhận nhận hàng của trung tâm.</w:t>
      </w:r>
    </w:p>
    <w:p>
      <w:pPr>
        <w:spacing w:after="40"/>
        <w:jc w:val="both"/>
      </w:pPr>
      <w:r>
        <w:rPr>
          <w:rFonts w:ascii="Times New Roman" w:cs="Times New Roman" w:eastAsia="Times New Roman" w:hAnsi="Times New Roman"/>
          <w:b w:val="false"/>
          <w:bCs w:val="false"/>
          <w:sz w:val="22"/>
          <w:szCs w:val="22"/>
        </w:rPr>
        <w:t xml:space="preserve">4. Đơn giá và mức khoán được rà soát, điều chỉnh định kỳ theo biến động giá thị trường và trình Ban Giám đốc phê duyệt.</w:t>
      </w:r>
    </w:p>
    <w:p>
      <w:pPr>
        <w:spacing w:after="160"/>
        <w:jc w:val="both"/>
      </w:pPr>
      <w:r>
        <w:rPr>
          <w:rFonts w:ascii="Times New Roman" w:cs="Times New Roman" w:eastAsia="Times New Roman" w:hAnsi="Times New Roman"/>
          <w:b w:val="false"/>
          <w:bCs w:val="false"/>
          <w:sz w:val="22"/>
          <w:szCs w:val="22"/>
        </w:rPr>
        <w:t xml:space="preserve">5. Mọi trường hợp phát sinh ngoài bảng định mức phải được Bộ phận Hành chính xác nhận và trình cấp có thẩm quyền phê duyệt trước khi thực hiện.</w:t>
      </w:r>
    </w:p>
    <w:p>
      <w:pPr>
        <w:spacing w:after="40"/>
        <w:jc w:val="center"/>
      </w:pPr>
      <w:r>
        <w:rPr>
          <w:rFonts w:ascii="Times New Roman" w:cs="Times New Roman" w:eastAsia="Times New Roman" w:hAnsi="Times New Roman"/>
          <w:b/>
          <w:bCs/>
          <w:sz w:val="24"/>
          <w:szCs w:val="24"/>
        </w:rPr>
        <w:t xml:space="preserve">TM. BAN GIÁM ĐỐC</w:t>
      </w:r>
    </w:p>
    <w:p>
      <w:pPr>
        <w:spacing w:after="40"/>
        <w:jc w:val="center"/>
      </w:pPr>
      <w:r>
        <w:rPr>
          <w:rFonts w:ascii="Times New Roman" w:cs="Times New Roman" w:eastAsia="Times New Roman" w:hAnsi="Times New Roman"/>
          <w:b/>
          <w:bCs/>
          <w:sz w:val="24"/>
          <w:szCs w:val="24"/>
        </w:rPr>
        <w:t xml:space="preserve">GIÁM ĐỐC</w:t>
      </w:r>
    </w:p>
    <w:p>
      <w:pPr>
        <w:spacing w:after="40"/>
        <w:jc w:val="center"/>
      </w:pPr>
      <w:r>
        <w:rPr>
          <w:rFonts w:ascii="Times New Roman" w:cs="Times New Roman" w:eastAsia="Times New Roman" w:hAnsi="Times New Roman"/>
          <w:b w:val="false"/>
          <w:bCs w:val="false"/>
          <w:sz w:val="20"/>
          <w:szCs w:val="20"/>
        </w:rPr>
        <w:t xml:space="preserve">(Ký, ghi rõ họ tên và đóng dấu)</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6"/>
        <w:szCs w:val="16"/>
      </w:rPr>
      <w:t xml:space="preserve">CÔNG TY CỔ PHẦN GIONG VIỆT NAM – Quy chế phụ cấp vận chuyển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2026-08-22T07:10:17.457Z</dcterms:created>
  <dcterms:modified xsi:type="dcterms:W3CDTF">2026-08-22T07:10:17.458Z</dcterms:modified>
</cp:coreProperties>
</file>

<file path=docProps/custom.xml><?xml version="1.0" encoding="utf-8"?>
<Properties xmlns="http://schemas.openxmlformats.org/officeDocument/2006/custom-properties" xmlns:vt="http://schemas.openxmlformats.org/officeDocument/2006/docPropsVTypes"/>
</file>