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sz w:val="26"/>
        </w:rPr>
        <w:t>SƯ ĐOÀN 5</w:t>
      </w:r>
      <w:r>
        <w:rPr>
          <w:rFonts w:ascii="Times New Roman" w:hAnsi="Times New Roman" w:eastAsia="Times New Roman"/>
          <w:b/>
          <w:i w:val="0"/>
          <w:sz w:val="26"/>
        </w:rPr>
        <w:t xml:space="preserve">                                 CỘNG HÒA XÃ HỘI CHỦ NGHĨA VIỆT NAM</w:t>
      </w:r>
    </w:p>
    <w:p>
      <w:pPr>
        <w:spacing w:after="40"/>
        <w:jc w:val="center"/>
      </w:pPr>
      <w:r>
        <w:rPr>
          <w:rFonts w:ascii="Times New Roman" w:hAnsi="Times New Roman" w:eastAsia="Times New Roman"/>
          <w:b/>
          <w:i w:val="0"/>
          <w:sz w:val="26"/>
        </w:rPr>
        <w:t>BAN QUÂN LỰC</w:t>
      </w:r>
      <w:r>
        <w:rPr>
          <w:rFonts w:ascii="Times New Roman" w:hAnsi="Times New Roman" w:eastAsia="Times New Roman"/>
          <w:b/>
          <w:i w:val="0"/>
          <w:sz w:val="26"/>
        </w:rPr>
        <w:t xml:space="preserve">                         Độc lập - Tự do - Hạnh phúc</w:t>
      </w:r>
    </w:p>
    <w:p>
      <w:pPr>
        <w:spacing w:before="0" w:after="60"/>
        <w:pBdr>
          <w:bottom w:val="single" w:sz="6" w:space="1" w:color="000000"/>
        </w:pBdr>
      </w:pPr>
    </w:p>
    <w:p>
      <w:pPr>
        <w:spacing w:after="60"/>
        <w:jc w:val="left"/>
      </w:pPr>
      <w:r>
        <w:rPr>
          <w:rFonts w:ascii="Times New Roman" w:hAnsi="Times New Roman" w:eastAsia="Times New Roman"/>
          <w:b w:val="0"/>
          <w:i w:val="0"/>
          <w:sz w:val="24"/>
        </w:rPr>
        <w:t>Số:      /BC-BQL</w:t>
      </w:r>
      <w:r>
        <w:rPr>
          <w:rFonts w:ascii="Times New Roman" w:hAnsi="Times New Roman" w:eastAsia="Times New Roman"/>
          <w:b w:val="0"/>
          <w:i w:val="0"/>
          <w:sz w:val="24"/>
        </w:rPr>
        <w:t xml:space="preserve">                                  Tây Ninh, ngày      tháng 8 năm 2026</w:t>
      </w:r>
    </w:p>
    <w:p>
      <w:pPr>
        <w:spacing w:before="40" w:after="60"/>
        <w:jc w:val="center"/>
      </w:pPr>
      <w:r>
        <w:rPr>
          <w:rFonts w:ascii="Times New Roman" w:hAnsi="Times New Roman" w:eastAsia="Times New Roman"/>
          <w:b/>
          <w:i w:val="0"/>
          <w:sz w:val="30"/>
        </w:rPr>
        <w:t>BÁO CÁO</w:t>
      </w:r>
    </w:p>
    <w:p>
      <w:pPr>
        <w:spacing w:after="120"/>
        <w:jc w:val="center"/>
      </w:pPr>
      <w:r>
        <w:rPr>
          <w:rFonts w:ascii="Times New Roman" w:hAnsi="Times New Roman" w:eastAsia="Times New Roman"/>
          <w:b/>
          <w:i w:val="0"/>
          <w:sz w:val="28"/>
        </w:rPr>
        <w:t>Tổng hợp số lượng, chất lượng, tình hình thực hiện nhiệm vụ</w:t>
        <w:br/>
        <w:t>của quân nhân chuyên nghiệp năm 2026</w:t>
      </w:r>
    </w:p>
    <w:p>
      <w:pPr>
        <w:pStyle w:val="Administrative"/>
      </w:pPr>
      <w:r>
        <w:rPr>
          <w:rFonts w:ascii="Times New Roman" w:hAnsi="Times New Roman" w:eastAsia="Times New Roman"/>
          <w:b w:val="0"/>
          <w:i w:val="0"/>
        </w:rPr>
        <w:t>Thực hiện ý kiến chỉ đạo của Thủ trưởng Bộ Chỉ huy Sư đoàn; căn cứ tình hình tổ chức biên chế, việc chấp hành nền nếp, chế độ và kết quả thực hiện nhiệm vụ của đội ngũ quân nhân chuyên nghiệp (QNCN), Ban Quân lực tổng hợp, báo cáo như sau:</w:t>
      </w:r>
    </w:p>
    <w:p>
      <w:pPr>
        <w:spacing w:before="80" w:after="40"/>
        <w:jc w:val="left"/>
      </w:pPr>
      <w:r>
        <w:rPr>
          <w:rFonts w:ascii="Times New Roman" w:hAnsi="Times New Roman" w:eastAsia="Times New Roman"/>
          <w:b/>
          <w:i w:val="0"/>
          <w:sz w:val="26"/>
        </w:rPr>
        <w:t>I. ĐẶC ĐIỂM TÌNH HÌNH</w:t>
      </w:r>
    </w:p>
    <w:p>
      <w:pPr>
        <w:pStyle w:val="BulletAdmin"/>
      </w:pPr>
      <w:r>
        <w:rPr>
          <w:rFonts w:ascii="Times New Roman" w:hAnsi="Times New Roman" w:eastAsia="Times New Roman"/>
          <w:b w:val="0"/>
          <w:i w:val="0"/>
        </w:rPr>
        <w:t>1. Thuận lợi:</w:t>
      </w:r>
    </w:p>
    <w:p>
      <w:pPr>
        <w:pStyle w:val="Administrative"/>
      </w:pPr>
      <w:r>
        <w:rPr>
          <w:rFonts w:ascii="Times New Roman" w:hAnsi="Times New Roman" w:eastAsia="Times New Roman"/>
          <w:b w:val="0"/>
          <w:i w:val="0"/>
        </w:rPr>
        <w:t>Thường vụ Đảng ủy, Chỉ huy Sư đoàn và cấp ủy, chỉ huy các cơ quan, đơn vị thường xuyên quan tâm lãnh đạo, chỉ đạo, quản lý đội ngũ QNCN; các chế độ, chính sách được triển khai theo quy định. Đội ngũ QNCN cơ bản được đào tạo, bồi dưỡng phù hợp chức danh, có kinh nghiệm công tác, xác định tốt trách nhiệm, đáp ứng yêu cầu nhiệm vụ huấn luyện, sẵn sàng chiến đấu, xây dựng chính quy và quản lý vũ khí, trang bị kỹ thuật.</w:t>
      </w:r>
    </w:p>
    <w:p>
      <w:pPr>
        <w:pStyle w:val="Administrative"/>
      </w:pPr>
      <w:r>
        <w:rPr>
          <w:rFonts w:ascii="Times New Roman" w:hAnsi="Times New Roman" w:eastAsia="Times New Roman"/>
          <w:b w:val="0"/>
          <w:i w:val="0"/>
        </w:rPr>
        <w:t>Công tác bố trí, sử dụng QNCN từng bước được điều chỉnh theo yêu cầu tổ chức biên chế và nhiệm vụ; việc nắm, quản lý chất lượng, tư tưởng, hoàn cảnh gia đình được quan tâm hơn, góp phần ổn định đội ngũ và nâng cao hiệu quả công tác.</w:t>
      </w:r>
    </w:p>
    <w:p>
      <w:pPr>
        <w:pStyle w:val="BulletAdmin"/>
      </w:pPr>
      <w:r>
        <w:rPr>
          <w:rFonts w:ascii="Times New Roman" w:hAnsi="Times New Roman" w:eastAsia="Times New Roman"/>
          <w:b w:val="0"/>
          <w:i w:val="0"/>
        </w:rPr>
        <w:t>2. Khó khăn:</w:t>
      </w:r>
    </w:p>
    <w:p>
      <w:pPr>
        <w:pStyle w:val="Administrative"/>
      </w:pPr>
      <w:r>
        <w:rPr>
          <w:rFonts w:ascii="Times New Roman" w:hAnsi="Times New Roman" w:eastAsia="Times New Roman"/>
          <w:b w:val="0"/>
          <w:i w:val="0"/>
        </w:rPr>
        <w:t>Yêu cầu nhiệm vụ ngày càng cao, trong khi biên chế và cơ cấu chuyên ngành ở một số vị trí còn chưa đồng bộ; một số chức danh kỹ thuật, hậu cần, quân y, lái xe và chuyên môn đặc thù có thời điểm thiếu so với nhu cầu. Chất lượng, trình độ và kinh nghiệm giữa các nhóm QNCN chưa đồng đều.</w:t>
      </w:r>
    </w:p>
    <w:p>
      <w:pPr>
        <w:pStyle w:val="Administrative"/>
      </w:pPr>
      <w:r>
        <w:rPr>
          <w:rFonts w:ascii="Times New Roman" w:hAnsi="Times New Roman" w:eastAsia="Times New Roman"/>
          <w:b w:val="0"/>
          <w:i w:val="0"/>
        </w:rPr>
        <w:t>Một bộ phận quân nhân còn chịu tác động bởi khó khăn về gia đình, kinh tế, nơi ở, việc đi lại; áp lực công việc và yêu cầu trực, cơ động, huấn luyện có ảnh hưởng nhất định đến tâm tư, đời sống. Công tác quản lý việc sử dụng rượu bia, vay mượn, chấp hành giờ giấc, an toàn giao thông và sử dụng mạng xã hội vẫn cần được tăng cường.</w:t>
      </w:r>
    </w:p>
    <w:p>
      <w:pPr>
        <w:spacing w:before="80" w:after="40"/>
        <w:jc w:val="left"/>
      </w:pPr>
      <w:r>
        <w:rPr>
          <w:rFonts w:ascii="Times New Roman" w:hAnsi="Times New Roman" w:eastAsia="Times New Roman"/>
          <w:b/>
          <w:i w:val="0"/>
          <w:sz w:val="26"/>
        </w:rPr>
        <w:t>II. SỐ LƯỢNG, CHẤT LƯỢNG QNCN</w:t>
      </w:r>
    </w:p>
    <w:p>
      <w:pPr>
        <w:pStyle w:val="BulletAdmin"/>
      </w:pPr>
      <w:r>
        <w:rPr>
          <w:rFonts w:ascii="Times New Roman" w:hAnsi="Times New Roman" w:eastAsia="Times New Roman"/>
          <w:b w:val="0"/>
          <w:i w:val="0"/>
        </w:rPr>
        <w:t>1. Thực trạng tổ chức biên chế QNCN toàn Sư đoàn</w:t>
      </w:r>
    </w:p>
    <w:p>
      <w:pPr>
        <w:pStyle w:val="Administrative"/>
      </w:pPr>
      <w:r>
        <w:rPr>
          <w:rFonts w:ascii="Times New Roman" w:hAnsi="Times New Roman" w:eastAsia="Times New Roman"/>
          <w:b w:val="0"/>
          <w:i w:val="0"/>
        </w:rPr>
        <w:t>Đến thời điểm báo cáo, Ban Quân lực đang tổng hợp số liệu biên chế thực tế của các cơ quan, Trung đoàn, Tiểu đoàn và đơn vị trực thuộc. So với báo cáo trước đây, cơ cấu QNCN tiếp tục được rà soát, sắp xếp theo chức danh và yêu cầu nhiệm vụ, chú trọng khắc phục tình trạng mất cân đối giữa nơi thừa và nơi thiếu.</w:t>
      </w:r>
    </w:p>
    <w:tbl>
      <w:tblPr>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D9E1F2"/>
          </w:tcPr>
          <w:p>
            <w:pPr>
              <w:spacing w:after="0"/>
              <w:jc w:val="center"/>
            </w:pPr>
            <w:r/>
            <w:r>
              <w:rPr>
                <w:rFonts w:ascii="Times New Roman" w:hAnsi="Times New Roman" w:eastAsia="Times New Roman"/>
                <w:b/>
                <w:i w:val="0"/>
                <w:sz w:val="24"/>
              </w:rPr>
              <w:t>Nội dung</w:t>
            </w:r>
          </w:p>
        </w:tc>
        <w:tc>
          <w:tcPr>
            <w:tcW w:type="dxa" w:w="3213"/>
            <w:vAlign w:val="center"/>
            <w:shd w:fill="D9E1F2"/>
          </w:tcPr>
          <w:p>
            <w:pPr>
              <w:spacing w:after="0"/>
              <w:jc w:val="center"/>
            </w:pPr>
            <w:r/>
            <w:r>
              <w:rPr>
                <w:rFonts w:ascii="Times New Roman" w:hAnsi="Times New Roman" w:eastAsia="Times New Roman"/>
                <w:b/>
                <w:i w:val="0"/>
                <w:sz w:val="24"/>
              </w:rPr>
              <w:t>Số liệu 2026</w:t>
            </w:r>
          </w:p>
        </w:tc>
        <w:tc>
          <w:tcPr>
            <w:tcW w:type="dxa" w:w="3213"/>
            <w:vAlign w:val="center"/>
            <w:shd w:fill="D9E1F2"/>
          </w:tcPr>
          <w:p>
            <w:pPr>
              <w:spacing w:after="0"/>
              <w:jc w:val="center"/>
            </w:pPr>
            <w:r/>
            <w:r>
              <w:rPr>
                <w:rFonts w:ascii="Times New Roman" w:hAnsi="Times New Roman" w:eastAsia="Times New Roman"/>
                <w:b/>
                <w:i w:val="0"/>
                <w:sz w:val="24"/>
              </w:rPr>
              <w:t>Ghi chú</w:t>
            </w:r>
          </w:p>
        </w:tc>
      </w:tr>
      <w:tr>
        <w:tc>
          <w:tcPr>
            <w:tcW w:type="dxa" w:w="3213"/>
            <w:vAlign w:val="center"/>
          </w:tcPr>
          <w:p>
            <w:pPr>
              <w:spacing w:after="0"/>
              <w:jc w:val="left"/>
            </w:pPr>
            <w:r/>
            <w:r>
              <w:rPr>
                <w:rFonts w:ascii="Times New Roman" w:hAnsi="Times New Roman" w:eastAsia="Times New Roman"/>
                <w:b w:val="0"/>
                <w:i w:val="0"/>
                <w:sz w:val="23"/>
              </w:rPr>
              <w:t>Tổng số QNCN/CNQP</w:t>
            </w:r>
          </w:p>
        </w:tc>
        <w:tc>
          <w:tcPr>
            <w:tcW w:type="dxa" w:w="3213"/>
            <w:vAlign w:val="center"/>
          </w:tcPr>
          <w:p>
            <w:pPr>
              <w:spacing w:after="0"/>
              <w:jc w:val="center"/>
            </w:pPr>
            <w:r/>
            <w:r>
              <w:rPr>
                <w:rFonts w:ascii="Times New Roman" w:hAnsi="Times New Roman" w:eastAsia="Times New Roman"/>
                <w:b w:val="0"/>
                <w:i w:val="0"/>
                <w:sz w:val="23"/>
              </w:rPr>
              <w:t>[Cập nhật số liệu 2026]</w:t>
            </w:r>
          </w:p>
        </w:tc>
        <w:tc>
          <w:tcPr>
            <w:tcW w:type="dxa" w:w="3213"/>
            <w:vAlign w:val="center"/>
          </w:tcPr>
          <w:p>
            <w:pPr>
              <w:spacing w:after="0"/>
              <w:jc w:val="left"/>
            </w:pPr>
            <w:r/>
            <w:r>
              <w:rPr>
                <w:rFonts w:ascii="Times New Roman" w:hAnsi="Times New Roman" w:eastAsia="Times New Roman"/>
                <w:b w:val="0"/>
                <w:i w:val="0"/>
                <w:sz w:val="23"/>
              </w:rPr>
              <w:t>Theo biểu thống kê quân lực</w:t>
            </w:r>
          </w:p>
        </w:tc>
      </w:tr>
      <w:tr>
        <w:tc>
          <w:tcPr>
            <w:tcW w:type="dxa" w:w="3213"/>
            <w:vAlign w:val="center"/>
          </w:tcPr>
          <w:p>
            <w:pPr>
              <w:spacing w:after="0"/>
              <w:jc w:val="left"/>
            </w:pPr>
            <w:r/>
            <w:r>
              <w:rPr>
                <w:rFonts w:ascii="Times New Roman" w:hAnsi="Times New Roman" w:eastAsia="Times New Roman"/>
                <w:b w:val="0"/>
                <w:i w:val="0"/>
                <w:sz w:val="23"/>
              </w:rPr>
              <w:t>QNCN nữ</w:t>
            </w:r>
          </w:p>
        </w:tc>
        <w:tc>
          <w:tcPr>
            <w:tcW w:type="dxa" w:w="3213"/>
            <w:vAlign w:val="center"/>
          </w:tcPr>
          <w:p>
            <w:pPr>
              <w:spacing w:after="0"/>
              <w:jc w:val="center"/>
            </w:pPr>
            <w:r/>
            <w:r>
              <w:rPr>
                <w:rFonts w:ascii="Times New Roman" w:hAnsi="Times New Roman" w:eastAsia="Times New Roman"/>
                <w:b w:val="0"/>
                <w:i w:val="0"/>
                <w:sz w:val="23"/>
              </w:rPr>
              <w:t>[Cập nhật số liệu 2026]</w:t>
            </w:r>
          </w:p>
        </w:tc>
        <w:tc>
          <w:tcPr>
            <w:tcW w:type="dxa" w:w="3213"/>
            <w:vAlign w:val="center"/>
          </w:tcPr>
          <w:p>
            <w:pPr>
              <w:spacing w:after="0"/>
              <w:jc w:val="left"/>
            </w:pPr>
            <w:r/>
            <w:r>
              <w:rPr>
                <w:rFonts w:ascii="Times New Roman" w:hAnsi="Times New Roman" w:eastAsia="Times New Roman"/>
                <w:b w:val="0"/>
                <w:i w:val="0"/>
                <w:sz w:val="23"/>
              </w:rPr>
              <w:t>Phân theo chức danh, trình độ</w:t>
            </w:r>
          </w:p>
        </w:tc>
      </w:tr>
      <w:tr>
        <w:tc>
          <w:tcPr>
            <w:tcW w:type="dxa" w:w="3213"/>
            <w:vAlign w:val="center"/>
          </w:tcPr>
          <w:p>
            <w:pPr>
              <w:spacing w:after="0"/>
              <w:jc w:val="left"/>
            </w:pPr>
            <w:r/>
            <w:r>
              <w:rPr>
                <w:rFonts w:ascii="Times New Roman" w:hAnsi="Times New Roman" w:eastAsia="Times New Roman"/>
                <w:b w:val="0"/>
                <w:i w:val="0"/>
                <w:sz w:val="23"/>
              </w:rPr>
              <w:t>Đại học, cao đẳng</w:t>
            </w:r>
          </w:p>
        </w:tc>
        <w:tc>
          <w:tcPr>
            <w:tcW w:type="dxa" w:w="3213"/>
            <w:vAlign w:val="center"/>
          </w:tcPr>
          <w:p>
            <w:pPr>
              <w:spacing w:after="0"/>
              <w:jc w:val="center"/>
            </w:pPr>
            <w:r/>
            <w:r>
              <w:rPr>
                <w:rFonts w:ascii="Times New Roman" w:hAnsi="Times New Roman" w:eastAsia="Times New Roman"/>
                <w:b w:val="0"/>
                <w:i w:val="0"/>
                <w:sz w:val="23"/>
              </w:rPr>
              <w:t>[Cập nhật số liệu 2026]</w:t>
            </w:r>
          </w:p>
        </w:tc>
        <w:tc>
          <w:tcPr>
            <w:tcW w:type="dxa" w:w="3213"/>
            <w:vAlign w:val="center"/>
          </w:tcPr>
          <w:p>
            <w:pPr>
              <w:spacing w:after="0"/>
              <w:jc w:val="left"/>
            </w:pPr>
            <w:r/>
            <w:r>
              <w:rPr>
                <w:rFonts w:ascii="Times New Roman" w:hAnsi="Times New Roman" w:eastAsia="Times New Roman"/>
                <w:b w:val="0"/>
                <w:i w:val="0"/>
                <w:sz w:val="23"/>
              </w:rPr>
              <w:t>Số lượng/tỷ lệ</w:t>
            </w:r>
          </w:p>
        </w:tc>
      </w:tr>
      <w:tr>
        <w:tc>
          <w:tcPr>
            <w:tcW w:type="dxa" w:w="3213"/>
            <w:vAlign w:val="center"/>
          </w:tcPr>
          <w:p>
            <w:pPr>
              <w:spacing w:after="0"/>
              <w:jc w:val="left"/>
            </w:pPr>
            <w:r/>
            <w:r>
              <w:rPr>
                <w:rFonts w:ascii="Times New Roman" w:hAnsi="Times New Roman" w:eastAsia="Times New Roman"/>
                <w:b w:val="0"/>
                <w:i w:val="0"/>
                <w:sz w:val="23"/>
              </w:rPr>
              <w:t>Trung cấp</w:t>
            </w:r>
          </w:p>
        </w:tc>
        <w:tc>
          <w:tcPr>
            <w:tcW w:type="dxa" w:w="3213"/>
            <w:vAlign w:val="center"/>
          </w:tcPr>
          <w:p>
            <w:pPr>
              <w:spacing w:after="0"/>
              <w:jc w:val="center"/>
            </w:pPr>
            <w:r/>
            <w:r>
              <w:rPr>
                <w:rFonts w:ascii="Times New Roman" w:hAnsi="Times New Roman" w:eastAsia="Times New Roman"/>
                <w:b w:val="0"/>
                <w:i w:val="0"/>
                <w:sz w:val="23"/>
              </w:rPr>
              <w:t>[Cập nhật số liệu 2026]</w:t>
            </w:r>
          </w:p>
        </w:tc>
        <w:tc>
          <w:tcPr>
            <w:tcW w:type="dxa" w:w="3213"/>
            <w:vAlign w:val="center"/>
          </w:tcPr>
          <w:p>
            <w:pPr>
              <w:spacing w:after="0"/>
              <w:jc w:val="left"/>
            </w:pPr>
            <w:r/>
            <w:r>
              <w:rPr>
                <w:rFonts w:ascii="Times New Roman" w:hAnsi="Times New Roman" w:eastAsia="Times New Roman"/>
                <w:b w:val="0"/>
                <w:i w:val="0"/>
                <w:sz w:val="23"/>
              </w:rPr>
              <w:t>Số lượng/tỷ lệ</w:t>
            </w:r>
          </w:p>
        </w:tc>
      </w:tr>
      <w:tr>
        <w:tc>
          <w:tcPr>
            <w:tcW w:type="dxa" w:w="3213"/>
            <w:vAlign w:val="center"/>
          </w:tcPr>
          <w:p>
            <w:pPr>
              <w:spacing w:after="0"/>
              <w:jc w:val="left"/>
            </w:pPr>
            <w:r/>
            <w:r>
              <w:rPr>
                <w:rFonts w:ascii="Times New Roman" w:hAnsi="Times New Roman" w:eastAsia="Times New Roman"/>
                <w:b w:val="0"/>
                <w:i w:val="0"/>
                <w:sz w:val="23"/>
              </w:rPr>
              <w:t>Sơ cấp</w:t>
            </w:r>
          </w:p>
        </w:tc>
        <w:tc>
          <w:tcPr>
            <w:tcW w:type="dxa" w:w="3213"/>
            <w:vAlign w:val="center"/>
          </w:tcPr>
          <w:p>
            <w:pPr>
              <w:spacing w:after="0"/>
              <w:jc w:val="center"/>
            </w:pPr>
            <w:r/>
            <w:r>
              <w:rPr>
                <w:rFonts w:ascii="Times New Roman" w:hAnsi="Times New Roman" w:eastAsia="Times New Roman"/>
                <w:b w:val="0"/>
                <w:i w:val="0"/>
                <w:sz w:val="23"/>
              </w:rPr>
              <w:t>[Cập nhật số liệu 2026]</w:t>
            </w:r>
          </w:p>
        </w:tc>
        <w:tc>
          <w:tcPr>
            <w:tcW w:type="dxa" w:w="3213"/>
            <w:vAlign w:val="center"/>
          </w:tcPr>
          <w:p>
            <w:pPr>
              <w:spacing w:after="0"/>
              <w:jc w:val="left"/>
            </w:pPr>
            <w:r/>
            <w:r>
              <w:rPr>
                <w:rFonts w:ascii="Times New Roman" w:hAnsi="Times New Roman" w:eastAsia="Times New Roman"/>
                <w:b w:val="0"/>
                <w:i w:val="0"/>
                <w:sz w:val="23"/>
              </w:rPr>
              <w:t>Số lượng/tỷ lệ</w:t>
            </w:r>
          </w:p>
        </w:tc>
      </w:tr>
      <w:tr>
        <w:tc>
          <w:tcPr>
            <w:tcW w:type="dxa" w:w="3213"/>
            <w:vAlign w:val="center"/>
          </w:tcPr>
          <w:p>
            <w:pPr>
              <w:spacing w:after="0"/>
              <w:jc w:val="left"/>
            </w:pPr>
            <w:r/>
            <w:r>
              <w:rPr>
                <w:rFonts w:ascii="Times New Roman" w:hAnsi="Times New Roman" w:eastAsia="Times New Roman"/>
                <w:b w:val="0"/>
                <w:i w:val="0"/>
                <w:sz w:val="23"/>
              </w:rPr>
              <w:t>Đảng viên/Đoàn viên</w:t>
            </w:r>
          </w:p>
        </w:tc>
        <w:tc>
          <w:tcPr>
            <w:tcW w:type="dxa" w:w="3213"/>
            <w:vAlign w:val="center"/>
          </w:tcPr>
          <w:p>
            <w:pPr>
              <w:spacing w:after="0"/>
              <w:jc w:val="center"/>
            </w:pPr>
            <w:r/>
            <w:r>
              <w:rPr>
                <w:rFonts w:ascii="Times New Roman" w:hAnsi="Times New Roman" w:eastAsia="Times New Roman"/>
                <w:b w:val="0"/>
                <w:i w:val="0"/>
                <w:sz w:val="23"/>
              </w:rPr>
              <w:t>[Cập nhật số liệu 2026]</w:t>
            </w:r>
          </w:p>
        </w:tc>
        <w:tc>
          <w:tcPr>
            <w:tcW w:type="dxa" w:w="3213"/>
            <w:vAlign w:val="center"/>
          </w:tcPr>
          <w:p>
            <w:pPr>
              <w:spacing w:after="0"/>
              <w:jc w:val="left"/>
            </w:pPr>
            <w:r/>
            <w:r>
              <w:rPr>
                <w:rFonts w:ascii="Times New Roman" w:hAnsi="Times New Roman" w:eastAsia="Times New Roman"/>
                <w:b w:val="0"/>
                <w:i w:val="0"/>
                <w:sz w:val="23"/>
              </w:rPr>
              <w:t>Theo hồ sơ quản lý</w:t>
            </w:r>
          </w:p>
        </w:tc>
      </w:tr>
      <w:tr>
        <w:tc>
          <w:tcPr>
            <w:tcW w:type="dxa" w:w="3213"/>
            <w:vAlign w:val="center"/>
          </w:tcPr>
          <w:p>
            <w:pPr>
              <w:spacing w:after="0"/>
              <w:jc w:val="left"/>
            </w:pPr>
            <w:r/>
            <w:r>
              <w:rPr>
                <w:rFonts w:ascii="Times New Roman" w:hAnsi="Times New Roman" w:eastAsia="Times New Roman"/>
                <w:b w:val="0"/>
                <w:i w:val="0"/>
                <w:sz w:val="23"/>
              </w:rPr>
              <w:t>Thừa/thiếu theo biên chế</w:t>
            </w:r>
          </w:p>
        </w:tc>
        <w:tc>
          <w:tcPr>
            <w:tcW w:type="dxa" w:w="3213"/>
            <w:vAlign w:val="center"/>
          </w:tcPr>
          <w:p>
            <w:pPr>
              <w:spacing w:after="0"/>
              <w:jc w:val="center"/>
            </w:pPr>
            <w:r/>
            <w:r>
              <w:rPr>
                <w:rFonts w:ascii="Times New Roman" w:hAnsi="Times New Roman" w:eastAsia="Times New Roman"/>
                <w:b w:val="0"/>
                <w:i w:val="0"/>
                <w:sz w:val="23"/>
              </w:rPr>
              <w:t>[Cập nhật số liệu 2026]</w:t>
            </w:r>
          </w:p>
        </w:tc>
        <w:tc>
          <w:tcPr>
            <w:tcW w:type="dxa" w:w="3213"/>
            <w:vAlign w:val="center"/>
          </w:tcPr>
          <w:p>
            <w:pPr>
              <w:spacing w:after="0"/>
              <w:jc w:val="left"/>
            </w:pPr>
            <w:r/>
            <w:r>
              <w:rPr>
                <w:rFonts w:ascii="Times New Roman" w:hAnsi="Times New Roman" w:eastAsia="Times New Roman"/>
                <w:b w:val="0"/>
                <w:i w:val="0"/>
                <w:sz w:val="23"/>
              </w:rPr>
              <w:t>Theo chức danh</w:t>
            </w:r>
          </w:p>
        </w:tc>
      </w:tr>
    </w:tbl>
    <w:p>
      <w:pPr>
        <w:spacing w:before="40" w:after="40"/>
        <w:ind w:left="283" w:right="170"/>
        <w:jc w:val="both"/>
      </w:pPr>
      <w:r>
        <w:rPr>
          <w:rFonts w:ascii="Times New Roman" w:hAnsi="Times New Roman" w:eastAsia="Times New Roman"/>
          <w:b w:val="0"/>
          <w:i/>
          <w:sz w:val="22"/>
        </w:rPr>
        <w:t>Lưu ý: Các ô số liệu trong bảng phải đối chiếu với biểu biên chế, danh sách QNCN và hồ sơ quân lực tại thời điểm ký báo cáo; không sử dụng số liệu của các năm trước để thay thế số liệu thực tế năm 2026.</w:t>
      </w:r>
    </w:p>
    <w:p>
      <w:pPr>
        <w:pStyle w:val="BulletAdmin"/>
      </w:pPr>
      <w:r>
        <w:rPr>
          <w:rFonts w:ascii="Times New Roman" w:hAnsi="Times New Roman" w:eastAsia="Times New Roman"/>
          <w:b w:val="0"/>
          <w:i w:val="0"/>
        </w:rPr>
        <w:t>2. Chất lượng đội ngũ</w:t>
      </w:r>
    </w:p>
    <w:p>
      <w:pPr>
        <w:pStyle w:val="Administrative"/>
      </w:pPr>
      <w:r>
        <w:rPr>
          <w:rFonts w:ascii="Times New Roman" w:hAnsi="Times New Roman" w:eastAsia="Times New Roman"/>
          <w:b w:val="0"/>
          <w:i w:val="0"/>
        </w:rPr>
        <w:t>Đội ngũ QNCN cơ bản có bản lĩnh chính trị vững vàng, ý thức trách nhiệm tốt, chấp hành đường lối, chủ trương của Đảng, pháp luật Nhà nước, kỷ luật Quân đội và quy định của đơn vị. Trình độ đào tạo từng bước được nâng lên, song vẫn còn chênh lệch giữa các ngành; cần tiếp tục bố trí, sử dụng đúng chuyên môn, khuyến khích tự học, bồi dưỡng và hoàn thiện chuẩn chức danh.</w:t>
      </w:r>
    </w:p>
    <w:p>
      <w:pPr>
        <w:pStyle w:val="Administrative"/>
      </w:pPr>
      <w:r>
        <w:rPr>
          <w:rFonts w:ascii="Times New Roman" w:hAnsi="Times New Roman" w:eastAsia="Times New Roman"/>
          <w:b w:val="0"/>
          <w:i w:val="0"/>
        </w:rPr>
        <w:t>Kết quả đánh giá, phân loại QNCN năm 2025 là cơ sở để rà soát chất lượng, bố trí, sử dụng, đào tạo, bồi dưỡng và thực hiện chính sách năm 2026. Đề nghị khi hoàn chỉnh báo cáo bổ sung đầy đủ tỷ lệ: hoàn thành xuất sắc nhiệm vụ; hoàn thành tốt nhiệm vụ; hoàn thành nhiệm vụ; không hoàn thành nhiệm vụ.</w:t>
      </w:r>
    </w:p>
    <w:p>
      <w:pPr>
        <w:spacing w:before="80" w:after="40"/>
        <w:jc w:val="left"/>
      </w:pPr>
      <w:r>
        <w:rPr>
          <w:rFonts w:ascii="Times New Roman" w:hAnsi="Times New Roman" w:eastAsia="Times New Roman"/>
          <w:b/>
          <w:i w:val="0"/>
          <w:sz w:val="26"/>
        </w:rPr>
        <w:t>III. KẾT QUẢ THỰC HIỆN NHIỆM VỤ</w:t>
      </w:r>
    </w:p>
    <w:p>
      <w:pPr>
        <w:pStyle w:val="BulletAdmin"/>
      </w:pPr>
      <w:r>
        <w:rPr>
          <w:rFonts w:ascii="Times New Roman" w:hAnsi="Times New Roman" w:eastAsia="Times New Roman"/>
          <w:b w:val="0"/>
          <w:i w:val="0"/>
        </w:rPr>
        <w:t>1. Ưu điểm</w:t>
      </w:r>
    </w:p>
    <w:p>
      <w:pPr>
        <w:pStyle w:val="Administrative"/>
      </w:pPr>
      <w:r>
        <w:rPr>
          <w:rFonts w:ascii="Times New Roman" w:hAnsi="Times New Roman" w:eastAsia="Times New Roman"/>
          <w:b w:val="0"/>
          <w:i w:val="0"/>
        </w:rPr>
        <w:t>Đội ngũ QNCN cơ bản có tư tưởng ổn định, xác định tốt vị trí, vai trò và trách nhiệm; chấp hành nghiêm mệnh lệnh, chỉ thị, quy định chuyên ngành và chế độ công tác. Trong huấn luyện, sẵn sàng chiến đấu, trực chỉ huy, trực chuyên môn và các nhiệm vụ đột xuất, QNCN cơ bản thực hiện đúng chức trách, góp phần bảo đảm an toàn người, vũ khí, trang bị kỹ thuật và cơ sở vật chất.</w:t>
      </w:r>
    </w:p>
    <w:p>
      <w:pPr>
        <w:pStyle w:val="Administrative"/>
      </w:pPr>
      <w:r>
        <w:rPr>
          <w:rFonts w:ascii="Times New Roman" w:hAnsi="Times New Roman" w:eastAsia="Times New Roman"/>
          <w:b w:val="0"/>
          <w:i w:val="0"/>
        </w:rPr>
        <w:t>Trên từng lĩnh vực chuyên môn, nhiều đồng chí tích cực học tập, nghiên cứu, chủ động khắc phục khó khăn, nâng cao tay nghề; một số đồng chí có tinh thần sáng tạo, cải tiến phương pháp làm việc, phục vụ hiệu quả công tác chỉ huy, quản lý và bảo đảm của đơn vị.</w:t>
      </w:r>
    </w:p>
    <w:p>
      <w:pPr>
        <w:pStyle w:val="Administrative"/>
      </w:pPr>
      <w:r>
        <w:rPr>
          <w:rFonts w:ascii="Times New Roman" w:hAnsi="Times New Roman" w:eastAsia="Times New Roman"/>
          <w:b w:val="0"/>
          <w:i w:val="0"/>
        </w:rPr>
        <w:t>Công tác quản lý hồ sơ, quân số, chất lượng và thực hiện chế độ, chính sách được duy trì; việc rà soát nâng lương, thăng quân hàm, nghỉ hưu, phục viên, chuyển đơn vị và giải quyết các trường hợp có hoàn cảnh khó khăn cơ bản thực hiện đúng quy định, kịp thời.</w:t>
      </w:r>
    </w:p>
    <w:p>
      <w:pPr>
        <w:pStyle w:val="Administrative"/>
      </w:pPr>
      <w:r>
        <w:rPr>
          <w:rFonts w:ascii="Times New Roman" w:hAnsi="Times New Roman" w:eastAsia="Times New Roman"/>
          <w:b w:val="0"/>
          <w:i w:val="0"/>
        </w:rPr>
        <w:t>Ý thức xây dựng chính quy, rèn luyện kỷ luật, giữ gìn đoàn kết nội bộ được nâng lên; QNCN cơ bản tham gia đầy đủ các hoạt động huấn luyện, hội thi, hội thao và phong trào của cơ quan, đơn vị.</w:t>
      </w:r>
    </w:p>
    <w:p>
      <w:pPr>
        <w:pStyle w:val="Administrative"/>
      </w:pPr>
      <w:r>
        <w:rPr>
          <w:rFonts w:ascii="Times New Roman" w:hAnsi="Times New Roman" w:eastAsia="Times New Roman"/>
          <w:b w:val="0"/>
          <w:i w:val="0"/>
        </w:rPr>
        <w:t>Công tác quản lý thông tin, hồ sơ và tổng hợp số liệu quân lực từng bước được chuẩn hóa; cần tiếp tục ứng dụng công cụ số để giảm sai sót, bảo đảm thống nhất số liệu giữa các cấp và phục vụ kịp thời công tác tham mưu, quản lý.</w:t>
      </w:r>
    </w:p>
    <w:p>
      <w:pPr>
        <w:pStyle w:val="BulletAdmin"/>
      </w:pPr>
      <w:r>
        <w:rPr>
          <w:rFonts w:ascii="Times New Roman" w:hAnsi="Times New Roman" w:eastAsia="Times New Roman"/>
          <w:b w:val="0"/>
          <w:i w:val="0"/>
        </w:rPr>
        <w:t>2. Khuyết điểm, tồn tại</w:t>
      </w:r>
    </w:p>
    <w:p>
      <w:pPr>
        <w:pStyle w:val="Administrative"/>
      </w:pPr>
      <w:r>
        <w:rPr>
          <w:rFonts w:ascii="Times New Roman" w:hAnsi="Times New Roman" w:eastAsia="Times New Roman"/>
          <w:b w:val="0"/>
          <w:i w:val="0"/>
        </w:rPr>
        <w:t>Việc chấp hành thời gian làm việc, giờ nghỉ, ngày nghỉ, ra vào doanh trại ở một số cá nhân có lúc chưa nghiêm; việc sử dụng rượu bia, điều khiển phương tiện, tham gia giao thông và chấp hành quy định an toàn có thời điểm còn tiềm ẩn nguy cơ mất an toàn.</w:t>
      </w:r>
    </w:p>
    <w:p>
      <w:pPr>
        <w:pStyle w:val="Administrative"/>
      </w:pPr>
      <w:r>
        <w:rPr>
          <w:rFonts w:ascii="Times New Roman" w:hAnsi="Times New Roman" w:eastAsia="Times New Roman"/>
          <w:b w:val="0"/>
          <w:i w:val="0"/>
        </w:rPr>
        <w:t>Một số QNCN còn hạn chế về phương pháp công tác, khả năng cập nhật kiến thức mới và kỹ năng phối hợp; hiệu quả thực hiện nhiệm vụ có lúc chưa đồng đều. Việc tự học, tự rèn luyện ở một số đồng chí chưa thường xuyên.</w:t>
      </w:r>
    </w:p>
    <w:p>
      <w:pPr>
        <w:pStyle w:val="Administrative"/>
      </w:pPr>
      <w:r>
        <w:rPr>
          <w:rFonts w:ascii="Times New Roman" w:hAnsi="Times New Roman" w:eastAsia="Times New Roman"/>
          <w:b w:val="0"/>
          <w:i w:val="0"/>
        </w:rPr>
        <w:t>Tình trạng vay mượn, quản lý tài chính cá nhân chưa chặt chẽ vẫn là vấn đề cần quan tâm. Một số trường hợp còn biểu hiện tư tưởng chưa ổn định, so sánh chế độ, quyền lợi, chưa xác định đầy đủ trách nhiệm phục vụ lâu dài; việc nắm, giải quyết tư tưởng có nơi còn chậm.</w:t>
      </w:r>
    </w:p>
    <w:p>
      <w:pPr>
        <w:pStyle w:val="BulletAdmin"/>
      </w:pPr>
      <w:r>
        <w:rPr>
          <w:rFonts w:ascii="Times New Roman" w:hAnsi="Times New Roman" w:eastAsia="Times New Roman"/>
          <w:b w:val="0"/>
          <w:i w:val="0"/>
        </w:rPr>
        <w:t>3. Nguyên nhân</w:t>
      </w:r>
    </w:p>
    <w:p>
      <w:pPr>
        <w:pStyle w:val="Administrative"/>
      </w:pPr>
      <w:r>
        <w:rPr>
          <w:rFonts w:ascii="Times New Roman" w:hAnsi="Times New Roman" w:eastAsia="Times New Roman"/>
          <w:b w:val="0"/>
          <w:i w:val="0"/>
        </w:rPr>
        <w:t>Cấp ủy, chỉ huy các cấp cơ bản quan tâm lãnh đạo, chỉ đạo nhưng việc kiểm tra, quản lý QNCN theo chuyên ngành ở một số thời điểm chưa sâu sát. Một số cá nhân bản lĩnh, ý thức tự giác, trách nhiệm với chức trách chưa cao; chịu tác động của hoàn cảnh gia đình, kinh tế và các yếu tố xã hội bên ngoài.</w:t>
      </w:r>
    </w:p>
    <w:p>
      <w:pPr>
        <w:spacing w:before="80" w:after="40"/>
        <w:jc w:val="left"/>
      </w:pPr>
      <w:r>
        <w:rPr>
          <w:rFonts w:ascii="Times New Roman" w:hAnsi="Times New Roman" w:eastAsia="Times New Roman"/>
          <w:b/>
          <w:i w:val="0"/>
          <w:sz w:val="26"/>
        </w:rPr>
        <w:t>IV. ĐÁNH GIÁ CHUNG</w:t>
      </w:r>
    </w:p>
    <w:p>
      <w:pPr>
        <w:pStyle w:val="Administrative"/>
      </w:pPr>
      <w:r>
        <w:rPr>
          <w:rFonts w:ascii="Times New Roman" w:hAnsi="Times New Roman" w:eastAsia="Times New Roman"/>
          <w:b w:val="0"/>
          <w:i w:val="0"/>
        </w:rPr>
        <w:t>Năm 2026, đội ngũ QNCN trong toàn Sư đoàn cơ bản ổn định, có ý thức trách nhiệm, chấp hành tốt nền nếp, kỷ luật, chủ động thực hiện nhiệm vụ theo từng chức danh chuyên môn. Chất lượng đội ngũ tiếp tục được củng cố; công tác quản lý, sử dụng và thực hiện chế độ, chính sách có chuyển biến tích cực.</w:t>
      </w:r>
    </w:p>
    <w:p>
      <w:pPr>
        <w:pStyle w:val="Administrative"/>
      </w:pPr>
      <w:r>
        <w:rPr>
          <w:rFonts w:ascii="Times New Roman" w:hAnsi="Times New Roman" w:eastAsia="Times New Roman"/>
          <w:b w:val="0"/>
          <w:i w:val="0"/>
        </w:rPr>
        <w:t>Bên cạnh kết quả đạt được, vẫn còn một số hạn chế về cơ cấu biên chế, chất lượng không đồng đều, chấp hành kỷ luật ở một số cá nhân, quản lý tài chính, an toàn giao thông và tư tưởng phục vụ lâu dài. Những vấn đề trên cần được cấp ủy, chỉ huy các cấp tập trung khắc phục trong thời gian tới, nhất là đối với các trường hợp có nguy cơ phát sinh vi phạm.</w:t>
      </w:r>
    </w:p>
    <w:p>
      <w:pPr>
        <w:spacing w:before="80" w:after="40"/>
        <w:jc w:val="left"/>
      </w:pPr>
      <w:r>
        <w:rPr>
          <w:rFonts w:ascii="Times New Roman" w:hAnsi="Times New Roman" w:eastAsia="Times New Roman"/>
          <w:b/>
          <w:i w:val="0"/>
          <w:sz w:val="26"/>
        </w:rPr>
        <w:t>V. PHƯƠNG HƯỚNG, NHIỆM VỤ THỜI GIAN TỚI</w:t>
      </w:r>
    </w:p>
    <w:p>
      <w:pPr>
        <w:pStyle w:val="BulletAdmin"/>
      </w:pPr>
      <w:r>
        <w:rPr>
          <w:rFonts w:ascii="Times New Roman" w:hAnsi="Times New Roman" w:eastAsia="Times New Roman"/>
          <w:b w:val="0"/>
          <w:i w:val="0"/>
        </w:rPr>
        <w:t>Một là:</w:t>
      </w:r>
    </w:p>
    <w:p>
      <w:pPr>
        <w:pStyle w:val="Administrative"/>
      </w:pPr>
      <w:r>
        <w:rPr>
          <w:rFonts w:ascii="Times New Roman" w:hAnsi="Times New Roman" w:eastAsia="Times New Roman"/>
          <w:b w:val="0"/>
          <w:i w:val="0"/>
        </w:rPr>
        <w:t>Tiếp tục nắm chắc số lượng, chất lượng, hoàn cảnh gia đình, tư tưởng và nguyện vọng của QNCN; quản lý chặt chẽ biến động quân số, không để bị động, bất ngờ. Rà soát, đề xuất điều chỉnh những chức danh thừa, thiếu; bố trí, sử dụng đúng chuyên môn, đúng người, đúng việc.</w:t>
      </w:r>
    </w:p>
    <w:p>
      <w:pPr>
        <w:pStyle w:val="BulletAdmin"/>
      </w:pPr>
      <w:r>
        <w:rPr>
          <w:rFonts w:ascii="Times New Roman" w:hAnsi="Times New Roman" w:eastAsia="Times New Roman"/>
          <w:b w:val="0"/>
          <w:i w:val="0"/>
        </w:rPr>
        <w:t>Hai là:</w:t>
      </w:r>
    </w:p>
    <w:p>
      <w:pPr>
        <w:pStyle w:val="Administrative"/>
      </w:pPr>
      <w:r>
        <w:rPr>
          <w:rFonts w:ascii="Times New Roman" w:hAnsi="Times New Roman" w:eastAsia="Times New Roman"/>
          <w:b w:val="0"/>
          <w:i w:val="0"/>
        </w:rPr>
        <w:t>Tăng cường giáo dục chính trị, tư tưởng, pháp luật, kỷ luật; tập trung vào trách nhiệm phục vụ trong Quân đội, ý thức tổ chức kỷ luật, quản lý thời gian, quan hệ xã hội, sử dụng mạng xã hội, phòng ngừa vay nợ và các hành vi có nguy cơ vi phạm pháp luật, kỷ luật.</w:t>
      </w:r>
    </w:p>
    <w:p>
      <w:pPr>
        <w:pStyle w:val="BulletAdmin"/>
      </w:pPr>
      <w:r>
        <w:rPr>
          <w:rFonts w:ascii="Times New Roman" w:hAnsi="Times New Roman" w:eastAsia="Times New Roman"/>
          <w:b w:val="0"/>
          <w:i w:val="0"/>
        </w:rPr>
        <w:t>Ba là:</w:t>
      </w:r>
    </w:p>
    <w:p>
      <w:pPr>
        <w:pStyle w:val="Administrative"/>
      </w:pPr>
      <w:r>
        <w:rPr>
          <w:rFonts w:ascii="Times New Roman" w:hAnsi="Times New Roman" w:eastAsia="Times New Roman"/>
          <w:b w:val="0"/>
          <w:i w:val="0"/>
        </w:rPr>
        <w:t>Tập trung nâng cao trình độ chuyên môn, tay nghề và khả năng xử trí công việc; gắn đào tạo, bồi dưỡng với yêu cầu chức danh, nhiệm vụ huấn luyện, sẵn sàng chiến đấu, quản lý vũ khí, trang bị kỹ thuật và các nhiệm vụ bảo đảm của Sư đoàn. Chú trọng lực lượng chuyên ngành còn thiếu, yếu.</w:t>
      </w:r>
    </w:p>
    <w:p>
      <w:pPr>
        <w:pStyle w:val="BulletAdmin"/>
      </w:pPr>
      <w:r>
        <w:rPr>
          <w:rFonts w:ascii="Times New Roman" w:hAnsi="Times New Roman" w:eastAsia="Times New Roman"/>
          <w:b w:val="0"/>
          <w:i w:val="0"/>
        </w:rPr>
        <w:t>Bốn là:</w:t>
      </w:r>
    </w:p>
    <w:p>
      <w:pPr>
        <w:pStyle w:val="Administrative"/>
      </w:pPr>
      <w:r>
        <w:rPr>
          <w:rFonts w:ascii="Times New Roman" w:hAnsi="Times New Roman" w:eastAsia="Times New Roman"/>
          <w:b w:val="0"/>
          <w:i w:val="0"/>
        </w:rPr>
        <w:t>Duy trì nghiêm nền nếp chính quy, chấp hành điều lệnh, điều lệ, quy định của đơn vị; bảo đảm an toàn trong huấn luyện, công tác, lao động, giao thông và sử dụng điện, xăng dầu, vũ khí, trang bị. Chủ động phòng ngừa, hạn chế thấp nhất vụ việc vi phạm kỷ luật và mất an toàn.</w:t>
      </w:r>
    </w:p>
    <w:p>
      <w:pPr>
        <w:pStyle w:val="BulletAdmin"/>
      </w:pPr>
      <w:r>
        <w:rPr>
          <w:rFonts w:ascii="Times New Roman" w:hAnsi="Times New Roman" w:eastAsia="Times New Roman"/>
          <w:b w:val="0"/>
          <w:i w:val="0"/>
        </w:rPr>
        <w:t>Năm là:</w:t>
      </w:r>
    </w:p>
    <w:p>
      <w:pPr>
        <w:pStyle w:val="Administrative"/>
      </w:pPr>
      <w:r>
        <w:rPr>
          <w:rFonts w:ascii="Times New Roman" w:hAnsi="Times New Roman" w:eastAsia="Times New Roman"/>
          <w:b w:val="0"/>
          <w:i w:val="0"/>
        </w:rPr>
        <w:t>Thực hiện đầy đủ, kịp thời các chế độ, chính sách đối với QNCN; quan tâm các trường hợp hoàn cảnh khó khăn, bệnh tật, gia đình có vấn đề phát sinh. Giải quyết nguyện vọng nghỉ hưu, phục viên, chuyển đơn vị, nâng lương, thăng quân hàm theo đúng thẩm quyền, quy định, bảo đảm công khai, minh bạch.</w:t>
      </w:r>
    </w:p>
    <w:p>
      <w:pPr>
        <w:pStyle w:val="BulletAdmin"/>
      </w:pPr>
      <w:r>
        <w:rPr>
          <w:rFonts w:ascii="Times New Roman" w:hAnsi="Times New Roman" w:eastAsia="Times New Roman"/>
          <w:b w:val="0"/>
          <w:i w:val="0"/>
        </w:rPr>
        <w:t>Sáu là:</w:t>
      </w:r>
    </w:p>
    <w:p>
      <w:pPr>
        <w:pStyle w:val="Administrative"/>
      </w:pPr>
      <w:r>
        <w:rPr>
          <w:rFonts w:ascii="Times New Roman" w:hAnsi="Times New Roman" w:eastAsia="Times New Roman"/>
          <w:b w:val="0"/>
          <w:i w:val="0"/>
        </w:rPr>
        <w:t>Tiếp tục chuẩn hóa hồ sơ, dữ liệu quân lực; cập nhật biến động kịp thời, thống nhất số liệu giữa Ban Quân lực và các cơ quan, đơn vị. Tăng cường kiểm tra định kỳ, đột xuất; lấy kết quả thực hiện nhiệm vụ, chấp hành kỷ luật và hiệu quả công tác làm cơ sở đánh giá, bố trí, sử dụng và đề nghị chế độ, chính sách đối với QNCN.</w:t>
      </w:r>
    </w:p>
    <w:p>
      <w:pPr>
        <w:spacing w:before="80" w:after="40"/>
        <w:jc w:val="left"/>
      </w:pPr>
      <w:r>
        <w:rPr>
          <w:rFonts w:ascii="Times New Roman" w:hAnsi="Times New Roman" w:eastAsia="Times New Roman"/>
          <w:b/>
          <w:i w:val="0"/>
          <w:sz w:val="26"/>
        </w:rPr>
        <w:t>VI. ĐỀ XUẤT, KIẾN NGHỊ</w:t>
      </w:r>
    </w:p>
    <w:p>
      <w:pPr>
        <w:pStyle w:val="BulletAdmin"/>
      </w:pPr>
      <w:r>
        <w:rPr>
          <w:rFonts w:ascii="Times New Roman" w:hAnsi="Times New Roman" w:eastAsia="Times New Roman"/>
          <w:b w:val="0"/>
          <w:i w:val="0"/>
        </w:rPr>
        <w:t>1. Đề nghị Thủ trưởng Sư đoàn tiếp tục quan tâm chỉ đạo các cơ quan, đơn vị rà soát, đề xuất bổ sung, điều chỉnh biên chế QNCN đối với các chức danh còn thiếu, nhất là các chuyên ngành trực tiếp phục vụ huấn luyện, sẵn sàng chiến đấu và bảo đảm kỹ thuật.</w:t>
      </w:r>
    </w:p>
    <w:p>
      <w:pPr>
        <w:pStyle w:val="BulletAdmin"/>
      </w:pPr>
      <w:r>
        <w:rPr>
          <w:rFonts w:ascii="Times New Roman" w:hAnsi="Times New Roman" w:eastAsia="Times New Roman"/>
          <w:b w:val="0"/>
          <w:i w:val="0"/>
        </w:rPr>
        <w:t>2. Chỉ đạo cấp ủy, chỉ huy các cấp duy trì nắm tình hình tư tưởng, hoàn cảnh gia đình QNCN; giải quyết kịp thời các vấn đề phát sinh, không để tích tụ thành vụ việc phải xử lý.</w:t>
      </w:r>
    </w:p>
    <w:p>
      <w:pPr>
        <w:pStyle w:val="BulletAdmin"/>
      </w:pPr>
      <w:r>
        <w:rPr>
          <w:rFonts w:ascii="Times New Roman" w:hAnsi="Times New Roman" w:eastAsia="Times New Roman"/>
          <w:b w:val="0"/>
          <w:i w:val="0"/>
        </w:rPr>
        <w:t>3. Cho chủ trương tăng cường bồi dưỡng, tập huấn chuyên môn đối với các chức danh còn hạn chế; đồng thời kiểm tra, đánh giá thực chất hiệu quả sử dụng QNCN sau đào tạo.</w:t>
      </w:r>
    </w:p>
    <w:p>
      <w:pPr>
        <w:pStyle w:val="Administrative"/>
      </w:pPr>
      <w:r>
        <w:rPr>
          <w:rFonts w:ascii="Times New Roman" w:hAnsi="Times New Roman" w:eastAsia="Times New Roman"/>
          <w:b w:val="0"/>
          <w:i w:val="0"/>
        </w:rPr>
        <w:t>Trên đây là báo cáo tổng hợp số lượng, chất lượng và tình hình thực hiện nhiệm vụ của đội ngũ QNCN năm 2026. Ban Quân lực kính báo cáo Thủ trưởng Bộ Chỉ huy Sư đoàn xem xét, chỉ đạo./.</w:t>
      </w:r>
    </w:p>
    <w:p>
      <w:pPr>
        <w:spacing w:before="160"/>
      </w:pPr>
    </w:p>
    <w:tbl>
      <w:tblPr>
        <w:tblW w:type="auto" w:w="0"/>
        <w:jc w:val="center"/>
        <w:tblLayout w:type="autofit"/>
        <w:tblLook w:firstColumn="1" w:firstRow="1" w:lastColumn="0" w:lastRow="0" w:noHBand="0" w:noVBand="1" w:val="04A0"/>
      </w:tblPr>
      <w:tblGrid>
        <w:gridCol w:w="4819"/>
        <w:gridCol w:w="4819"/>
      </w:tblGrid>
      <w:tr>
        <w:tc>
          <w:tcPr>
            <w:tcW w:type="dxa" w:w="4819"/>
            <w:tcBorders>
              <w:top w:val="nil"/>
              <w:left w:val="nil"/>
              <w:bottom w:val="nil"/>
              <w:right w:val="nil"/>
              <w:insideH w:val="nil"/>
              <w:insideV w:val="nil"/>
            </w:tcBorders>
          </w:tcPr>
          <w:p>
            <w:pPr>
              <w:jc w:val="left"/>
            </w:pPr>
            <w:r>
              <w:rPr>
                <w:rFonts w:ascii="Times New Roman" w:hAnsi="Times New Roman" w:eastAsia="Times New Roman"/>
                <w:b/>
                <w:i w:val="0"/>
                <w:sz w:val="24"/>
              </w:rPr>
              <w:t>Nơi nhận:</w:t>
            </w:r>
          </w:p>
          <w:p>
            <w:pPr>
              <w:spacing w:after="0"/>
            </w:pPr>
            <w:r>
              <w:rPr>
                <w:rFonts w:ascii="Times New Roman" w:hAnsi="Times New Roman" w:eastAsia="Times New Roman"/>
                <w:b w:val="0"/>
                <w:i w:val="0"/>
                <w:sz w:val="23"/>
              </w:rPr>
              <w:t>- Thủ trưởng BCH Sư đoàn (báo cáo);</w:t>
            </w:r>
          </w:p>
          <w:p>
            <w:pPr>
              <w:spacing w:after="0"/>
            </w:pPr>
            <w:r>
              <w:rPr>
                <w:rFonts w:ascii="Times New Roman" w:hAnsi="Times New Roman" w:eastAsia="Times New Roman"/>
                <w:b w:val="0"/>
                <w:i w:val="0"/>
                <w:sz w:val="23"/>
              </w:rPr>
              <w:t>- Các cơ quan, đơn vị (thực hiện);</w:t>
            </w:r>
          </w:p>
          <w:p>
            <w:pPr>
              <w:spacing w:after="0"/>
            </w:pPr>
            <w:r>
              <w:rPr>
                <w:rFonts w:ascii="Times New Roman" w:hAnsi="Times New Roman" w:eastAsia="Times New Roman"/>
                <w:b w:val="0"/>
                <w:i w:val="0"/>
                <w:sz w:val="23"/>
              </w:rPr>
              <w:t>- Lưu: VT, BQL.</w:t>
            </w:r>
          </w:p>
        </w:tc>
        <w:tc>
          <w:tcPr>
            <w:tcW w:type="dxa" w:w="4819"/>
            <w:tcBorders>
              <w:top w:val="nil"/>
              <w:left w:val="nil"/>
              <w:bottom w:val="nil"/>
              <w:right w:val="nil"/>
              <w:insideH w:val="nil"/>
              <w:insideV w:val="nil"/>
            </w:tcBorders>
          </w:tcPr>
          <w:p>
            <w:pPr>
              <w:jc w:val="center"/>
            </w:pPr>
            <w:r>
              <w:rPr>
                <w:rFonts w:ascii="Times New Roman" w:hAnsi="Times New Roman" w:eastAsia="Times New Roman"/>
                <w:b/>
                <w:i w:val="0"/>
                <w:sz w:val="26"/>
              </w:rPr>
              <w:t>TRƯỞNG BAN QUÂN LỰC</w:t>
            </w:r>
          </w:p>
          <w:p/>
          <w:p/>
          <w:p/>
          <w:p/>
        </w:tc>
      </w:tr>
    </w:tbl>
    <w:sectPr w:rsidR="00FC693F" w:rsidRPr="0006063C" w:rsidSect="00034616">
      <w:footerReference w:type="default" r:id="rId9"/>
      <w:pgSz w:w="11906" w:h="16838"/>
      <w:pgMar w:top="907" w:right="1020" w:bottom="907"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69"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jc w:val="center"/>
    </w:pPr>
    <w:rPr>
      <w:rFonts w:asciiTheme="majorHAnsi" w:eastAsiaTheme="majorEastAsia" w:hAnsiTheme="majorHAnsi" w:cstheme="majorBidi" w:ascii="Times New Roman" w:hAnsi="Times New Roman" w:eastAsia="Times New Roman"/>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dministrative">
    <w:name w:val="Administrative"/>
    <w:basedOn w:val="Normal"/>
    <w:pPr>
      <w:spacing w:line="269" w:lineRule="auto"/>
      <w:ind w:firstLine="425"/>
      <w:jc w:val="both"/>
    </w:pPr>
    <w:rPr>
      <w:rFonts w:ascii="Times New Roman" w:hAnsi="Times New Roman" w:eastAsia="Times New Roman"/>
      <w:sz w:val="26"/>
    </w:rPr>
  </w:style>
  <w:style w:type="paragraph" w:customStyle="1" w:styleId="BulletAdmin">
    <w:name w:val="BulletAdmin"/>
    <w:basedOn w:val="Normal"/>
    <w:pPr>
      <w:spacing w:line="269" w:lineRule="auto"/>
      <w:ind w:left="312" w:hanging="170"/>
      <w:jc w:val="both"/>
    </w:pPr>
    <w:rPr>
      <w:rFonts w:ascii="Times New Roman" w:hAnsi="Times New Roman" w:eastAsia="Times New Roman"/>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số lượng, chất lượng, tình hình thực hiện nhiệm vụ của QNCN năm 2026</dc:title>
  <dc:subject>Báo cáo của Ban Quân lực Sư đoàn</dc:subject>
  <dc:creator>Ban Quân lực</dc:creator>
  <cp:keywords/>
  <dc:description>Soạn thảo trên cơ sở khung nội dung báo cáo QNCN các năm trước; số liệu 2026 cần đối chiếu biểu thống kê thực tế trước khi ký.</dc:description>
  <cp:lastModifiedBy/>
  <cp:revision>1</cp:revision>
  <dcterms:created xsi:type="dcterms:W3CDTF">2013-12-23T23:15:00Z</dcterms:created>
  <dcterms:modified xsi:type="dcterms:W3CDTF">2013-12-23T23:15:00Z</dcterms:modified>
  <cp:category/>
</cp:coreProperties>
</file>