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Times New Roman" w:cs="Times New Roman" w:eastAsia="Times New Roman" w:hAnsi="Times New Roman"/>
          <w:b/>
          <w:bCs/>
          <w:sz w:val="36"/>
          <w:szCs w:val="36"/>
        </w:rPr>
        <w:t xml:space="preserve">Regression Plan: Self-Enrol + Funding</w:t>
      </w:r>
    </w:p>
    <w:p>
      <w:pPr>
        <w:spacing w:after="120" w:before="0" w:line="276"/>
        <w:jc w:val="both"/>
      </w:pPr>
      <w:r>
        <w:rPr>
          <w:rFonts w:ascii="Times New Roman" w:cs="Times New Roman" w:eastAsia="Times New Roman" w:hAnsi="Times New Roman"/>
          <w:sz w:val="22"/>
          <w:szCs w:val="22"/>
        </w:rPr>
        <w:t xml:space="preserve">Individual assignment, QA Foundation. Scope: Enrolment, Assessment and Funding modules of the Training Management system. Source: Tender_requirements_0232.xlsx. Date: 7 October 2026. Status: plan only, no test has been executed.</w:t>
      </w:r>
    </w:p>
    <w:p>
      <w:pPr>
        <w:pStyle w:val="Heading1"/>
        <w:keepNext/>
        <w:spacing w:after="140" w:before="280"/>
      </w:pPr>
      <w:r>
        <w:rPr>
          <w:rFonts w:ascii="Times New Roman" w:cs="Times New Roman" w:eastAsia="Times New Roman" w:hAnsi="Times New Roman"/>
          <w:b/>
          <w:bCs/>
          <w:sz w:val="28"/>
          <w:szCs w:val="28"/>
        </w:rPr>
        <w:t xml:space="preserve">1. Purpose and Scope</w:t>
      </w:r>
    </w:p>
    <w:p>
      <w:pPr>
        <w:spacing w:after="140" w:before="0" w:line="276"/>
        <w:jc w:val="both"/>
      </w:pPr>
      <w:r>
        <w:rPr>
          <w:rFonts w:ascii="Times New Roman" w:cs="Times New Roman" w:eastAsia="Times New Roman" w:hAnsi="Times New Roman"/>
          <w:sz w:val="22"/>
          <w:szCs w:val="22"/>
        </w:rPr>
        <w:t xml:space="preserve">This plan states how the functions of Training Management that the new Self-Enrol + Funding feature touches are checked again after every build that carries the feature or a defect fix. It covers the three modules Enrolment, Assessment and Funding. The selection of test cases follows the risk based regression idea of Lesson 3, and retest and regression are kept apart as in Lesson 4. All counts come from the workbook Tender_TestCases_Defects_and_Regression.xlsx, which is part of the same submission. The acronyms and the prefixes of identifiers are explained in section 1.3.</w:t>
      </w:r>
    </w:p>
    <w:p>
      <w:pPr>
        <w:pStyle w:val="Heading2"/>
        <w:keepNext/>
        <w:spacing w:after="120" w:before="200"/>
      </w:pPr>
      <w:r>
        <w:rPr>
          <w:rFonts w:ascii="Times New Roman" w:cs="Times New Roman" w:eastAsia="Times New Roman" w:hAnsi="Times New Roman"/>
          <w:b/>
          <w:bCs/>
          <w:sz w:val="26"/>
          <w:szCs w:val="26"/>
        </w:rPr>
        <w:t xml:space="preserve">1.1 The change under regression</w:t>
      </w:r>
    </w:p>
    <w:p>
      <w:pPr>
        <w:spacing w:after="140" w:before="0" w:line="276"/>
        <w:jc w:val="both"/>
      </w:pPr>
      <w:r>
        <w:rPr>
          <w:rFonts w:ascii="Times New Roman" w:cs="Times New Roman" w:eastAsia="Times New Roman" w:hAnsi="Times New Roman"/>
          <w:sz w:val="22"/>
          <w:szCs w:val="22"/>
        </w:rPr>
        <w:t xml:space="preserve">The feature lets a learner enrol without staff help. The learner logs in, passes the checks, receives the grant and the fee, gets a seat, receives the net fee invoice, and later the outcome based funding is decided. The Tender has no clause named Self-Enrol, so the seven step flow in Table 1 is my inference, recorded as ASM-98. Each Tender clause was linked to the step it supports. A clause is Direct when it sits on a step. A clause is Possible when it is not on a step but shares data, a rule or a trigger with a Direct clause, as ASM-99 states.</w:t>
      </w:r>
    </w:p>
    <w:p>
      <w:pPr>
        <w:keepNext/>
        <w:spacing w:after="80" w:before="120"/>
        <w:jc w:val="left"/>
      </w:pPr>
      <w:r>
        <w:rPr>
          <w:rFonts w:ascii="Times New Roman" w:cs="Times New Roman" w:eastAsia="Times New Roman" w:hAnsi="Times New Roman"/>
          <w:b/>
          <w:bCs/>
          <w:sz w:val="20"/>
          <w:szCs w:val="20"/>
        </w:rPr>
        <w:t xml:space="preserve">Table 1. Flow steps and the Tender clauses behind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938"/>
        <w:gridCol w:w="1100"/>
        <w:gridCol w:w="1200"/>
        <w:gridCol w:w="1200"/>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Flow step</w:t>
            </w:r>
          </w:p>
        </w:tc>
        <w:tc>
          <w:tcPr>
            <w:tcW w:type="dxa" w:w="39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What happens</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Direct</w:t>
            </w:r>
          </w:p>
        </w:tc>
        <w:tc>
          <w:tcPr>
            <w:tcW w:type="dxa" w:w="1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Possible</w:t>
            </w:r>
          </w:p>
        </w:tc>
        <w:tc>
          <w:tcPr>
            <w:tcW w:type="dxa" w:w="1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Clauses</w:t>
            </w:r>
          </w:p>
        </w:tc>
      </w:tr>
      <w:tr>
        <w:trPr>
          <w:cantSplit/>
          <w:tblHeader w:val="false"/>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1 Login and MyInfo</w:t>
            </w:r>
          </w:p>
        </w:tc>
        <w:tc>
          <w:tcPr>
            <w:tcW w:type="dxa" w:w="3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The learner signs in with SingPass or CorpPass and personal data is filled from MyInfo</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11</w:t>
            </w:r>
          </w:p>
        </w:tc>
      </w:tr>
      <w:tr>
        <w:trPr>
          <w:cantSplit/>
          <w:tblHeader w:val="false"/>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2 Blacklist check</w:t>
            </w:r>
          </w:p>
        </w:tc>
        <w:tc>
          <w:tcPr>
            <w:tcW w:type="dxa" w:w="3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The applicant is checked against the SSG and School blacklists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w:t>
            </w:r>
          </w:p>
        </w:tc>
      </w:tr>
      <w:tr>
        <w:trPr>
          <w:cantSplit/>
          <w:tblHeader w:val="false"/>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3 Prerequisite and restriction check</w:t>
            </w:r>
          </w:p>
        </w:tc>
        <w:tc>
          <w:tcPr>
            <w:tcW w:type="dxa" w:w="3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Prerequisites, age, capacity and other restrictions are checked</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8</w:t>
            </w:r>
          </w:p>
        </w:tc>
      </w:tr>
      <w:tr>
        <w:trPr>
          <w:cantSplit/>
          <w:tblHeader w:val="false"/>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4 Grant eligibility and fee</w:t>
            </w:r>
          </w:p>
        </w:tc>
        <w:tc>
          <w:tcPr>
            <w:tcW w:type="dxa" w:w="3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Grant, subsidy, SFC, alumni credit and discounts are checked and the fee is computed</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20</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8</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28</w:t>
            </w:r>
          </w:p>
        </w:tc>
      </w:tr>
      <w:tr>
        <w:trPr>
          <w:cantSplit/>
          <w:tblHeader w:val="false"/>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5 Seat confirm or waitlist</w:t>
            </w:r>
          </w:p>
        </w:tc>
        <w:tc>
          <w:tcPr>
            <w:tcW w:type="dxa" w:w="3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The seat is confirmed by capacity or the learner goes to the waitlist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11</w:t>
            </w:r>
          </w:p>
        </w:tc>
      </w:tr>
      <w:tr>
        <w:trPr>
          <w:cantSplit/>
          <w:tblHeader w:val="false"/>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6 Net fee and invoice</w:t>
            </w:r>
          </w:p>
        </w:tc>
        <w:tc>
          <w:tcPr>
            <w:tcW w:type="dxa" w:w="3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The net fee is computed, the invoice is generated and payment is taken</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16</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21</w:t>
            </w:r>
          </w:p>
        </w:tc>
      </w:tr>
      <w:tr>
        <w:trPr>
          <w:cantSplit/>
          <w:tblHeader w:val="false"/>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7 Outcome based funding</w:t>
            </w:r>
          </w:p>
        </w:tc>
        <w:tc>
          <w:tcPr>
            <w:tcW w:type="dxa" w:w="3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Funding is decided by attendance of at least 75 percent and a passed assessment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7</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11</w:t>
            </w:r>
          </w:p>
        </w:tc>
      </w:tr>
      <w:tr>
        <w:trPr>
          <w:cantSplit/>
          <w:tblHeader w:val="false"/>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Total</w:t>
            </w:r>
          </w:p>
        </w:tc>
        <w:tc>
          <w:tcPr>
            <w:tcW w:type="dxa" w:w="39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63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30</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93</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1.2 What is in the regression pack</w:t>
      </w:r>
    </w:p>
    <w:p>
      <w:pPr>
        <w:spacing w:after="140" w:before="0" w:line="276"/>
        <w:jc w:val="both"/>
      </w:pPr>
      <w:r>
        <w:rPr>
          <w:rFonts w:ascii="Times New Roman" w:cs="Times New Roman" w:eastAsia="Times New Roman" w:hAnsi="Times New Roman"/>
          <w:sz w:val="22"/>
          <w:szCs w:val="22"/>
        </w:rPr>
        <w:t xml:space="preserve">The pack has three parts. The first part is the new test cases, which are written for the feature itself and cover the joins between steps that no single Tender clause describes. The second part is the existing test cases of the Direct clauses. The third part is the existing test cases of the Possible clauses, and Appendix C gives the reason for each. Together they hold 251 test cases. The 93 clauses of the existing parts are Enrolment 38, Assessment 10 and Funding 45. The other 69 clauses of the three modules carry 102 test cases. They are not touched by the feature, so they stay in the normal test cycle of their module and are not part of this plan.</w:t>
      </w:r>
    </w:p>
    <w:p>
      <w:pPr>
        <w:keepNext/>
        <w:spacing w:after="80" w:before="120"/>
        <w:jc w:val="left"/>
      </w:pPr>
      <w:r>
        <w:rPr>
          <w:rFonts w:ascii="Times New Roman" w:cs="Times New Roman" w:eastAsia="Times New Roman" w:hAnsi="Times New Roman"/>
          <w:b/>
          <w:bCs/>
          <w:sz w:val="20"/>
          <w:szCs w:val="20"/>
        </w:rPr>
        <w:t xml:space="preserve">Table 2. Parts of the regression pack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638"/>
        <w:gridCol w:w="1000"/>
        <w:gridCol w:w="1200"/>
        <w:gridCol w:w="2600"/>
      </w:tblGrid>
      <w:tr>
        <w:trPr>
          <w:cantSplit/>
          <w:tblHeader/>
        </w:trPr>
        <w:tc>
          <w:tcPr>
            <w:tcW w:type="dxa" w:w="1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Part</w:t>
            </w:r>
          </w:p>
        </w:tc>
        <w:tc>
          <w:tcPr>
            <w:tcW w:type="dxa" w:w="36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What it holds</w:t>
            </w:r>
          </w:p>
        </w:tc>
        <w:tc>
          <w:tcPr>
            <w:tcW w:type="dxa" w:w="1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Clauses</w:t>
            </w:r>
          </w:p>
        </w:tc>
        <w:tc>
          <w:tcPr>
            <w:tcW w:type="dxa" w:w="1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Test cases</w:t>
            </w:r>
          </w:p>
        </w:tc>
        <w:tc>
          <w:tcPr>
            <w:tcW w:type="dxa" w:w="2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Place in the workbook</w:t>
            </w:r>
          </w:p>
        </w:tc>
      </w:tr>
      <w:tr>
        <w:trPr>
          <w:cantSplit/>
          <w:tblHeader w:val="false"/>
        </w:trPr>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New</w:t>
            </w:r>
          </w:p>
        </w:tc>
        <w:tc>
          <w:tcPr>
            <w:tcW w:type="dxa" w:w="36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Test cases for the joins between steps, written for the feature</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26</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Regression TestCases, Table 1</w:t>
            </w:r>
          </w:p>
        </w:tc>
      </w:tr>
      <w:tr>
        <w:trPr>
          <w:cantSplit/>
          <w:tblHeader w:val="false"/>
        </w:trPr>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Direct</w:t>
            </w:r>
          </w:p>
        </w:tc>
        <w:tc>
          <w:tcPr>
            <w:tcW w:type="dxa" w:w="36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Test cases of clauses on a step of the flow</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167</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Regression TestCases, Table 2</w:t>
            </w:r>
          </w:p>
        </w:tc>
      </w:tr>
      <w:tr>
        <w:trPr>
          <w:cantSplit/>
          <w:tblHeader w:val="false"/>
        </w:trPr>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Possible</w:t>
            </w:r>
          </w:p>
        </w:tc>
        <w:tc>
          <w:tcPr>
            <w:tcW w:type="dxa" w:w="36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Test cases of clauses that share data, a rule or a trigger with a Direct clause</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30</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58</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Regression TestCases, Table 2</w:t>
            </w:r>
          </w:p>
        </w:tc>
      </w:tr>
      <w:tr>
        <w:trPr>
          <w:cantSplit/>
          <w:tblHeader w:val="false"/>
        </w:trPr>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Total</w:t>
            </w:r>
          </w:p>
        </w:tc>
        <w:tc>
          <w:tcPr>
            <w:tcW w:type="dxa" w:w="36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93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251</w:t>
            </w:r>
          </w:p>
        </w:tc>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
            </w:r>
          </w:p>
        </w:tc>
      </w:tr>
    </w:tbl>
    <w:p>
      <w:pPr>
        <w:spacing w:after="120" w:before="0"/>
      </w:pPr>
    </w:p>
    <w:p>
      <w:pPr>
        <w:spacing w:after="140" w:before="0" w:line="276"/>
        <w:jc w:val="both"/>
      </w:pPr>
      <w:r>
        <w:rPr>
          <w:rFonts w:ascii="Times New Roman" w:cs="Times New Roman" w:eastAsia="Times New Roman" w:hAnsi="Times New Roman"/>
          <w:sz w:val="22"/>
          <w:szCs w:val="22"/>
        </w:rPr>
        <w:t xml:space="preserve">Defects are handled in two groups. 20 new defects are potential failures that the feature creates where steps meet, and they are in Table 1 of the sheet Regression Defects. 11 existing defects change in severity because the feature removes the staff check, and they are in Table 2 of the same sheet with the values before and after. Existing defects that do not change are not repeated and stay in the sheet Defects.</w:t>
      </w:r>
    </w:p>
    <w:p>
      <w:pPr>
        <w:pStyle w:val="Heading2"/>
        <w:keepNext/>
        <w:spacing w:after="120" w:before="200"/>
      </w:pPr>
      <w:r>
        <w:rPr>
          <w:rFonts w:ascii="Times New Roman" w:cs="Times New Roman" w:eastAsia="Times New Roman" w:hAnsi="Times New Roman"/>
          <w:b/>
          <w:bCs/>
          <w:sz w:val="26"/>
          <w:szCs w:val="26"/>
        </w:rPr>
        <w:t xml:space="preserve">1.3 Acronyms</w:t>
      </w:r>
    </w:p>
    <w:p>
      <w:pPr>
        <w:keepNext/>
        <w:spacing w:after="140" w:before="0" w:line="276"/>
        <w:jc w:val="both"/>
      </w:pPr>
      <w:r>
        <w:rPr>
          <w:rFonts w:ascii="Times New Roman" w:cs="Times New Roman" w:eastAsia="Times New Roman" w:hAnsi="Times New Roman"/>
          <w:sz w:val="22"/>
          <w:szCs w:val="22"/>
        </w:rPr>
        <w:t xml:space="preserve">The acronyms used in this plan are explained below. A prefix such as ASM, DEF or TC is followed by a number, as in ASM-98, DEF-076 or TC-SCN-016-02.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Acronym</w:t>
            </w:r>
          </w:p>
        </w:tc>
        <w:tc>
          <w:tcPr>
            <w:tcW w:type="dxa" w:w="81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Meaning</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ASM</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Assumption. Prefix of an assumption, as in ASM-98.</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DEF</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Defect. Prefix of a potential defect, as in DEF-076.</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ETSS</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Enhanced Training Support for SMEs, a funding scheme of SSG that Tender clause 18.2.4 refers to.</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FIN</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Finance. The Tender asks for a fee adjustment report for FIN without spelling it out, and this plan reads it as the Finance office.</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GST</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Goods and Services Tax.</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ID</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Identifier, the unique code of a test case, a defect or an assumption.</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NEG</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Negotiation item. Prefix of an open question to the Tender owner, as in NEG-01.</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OTP</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One Time Password, the code that confirms a credential login.</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PA</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Plan Assumption. Prefix of a rule that is new in this plan, as in PA-1.</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PDPA</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Personal Data Protection Act, the law behind the consent record of the learner.</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PSEA</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Post Secondary Education Account, an education account of the Ministry of Education from which course fees can be paid.</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QA</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Quality Assurance.</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R</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Risk. Prefix of a risk in section 4.3, as in R2.</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SCN</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Scenario. In TC-SCN-016-02 the number 016 is the scenario and 02 is the case. A scenario such as SCN-R05 is new for the feature.</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Sev</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Severity, as in Sev 1.</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SFC</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SkillsFuture Credit, a government credit that a learner uses to pay for courses.</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SIT</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System Integration Testing, the test level in which the modules and the outside systems run together. All tests of this plan run in SIT.</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SME</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Small and Medium sized Enterprise.</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SSG</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SkillsFuture Singapore, the agency behind the course grants and funding schemes.</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TC</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Test Case. Prefix of a test case, as in TC-SCN-016-02.</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TPGateway</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Training Provider Gateway, the SSG system that Training Management is integrated with for course and funding data.</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UEN</w:t>
            </w:r>
          </w:p>
        </w:tc>
        <w:tc>
          <w:tcPr>
            <w:tcW w:type="dxa" w:w="8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Unique Entity Number, the registration number of a company.</w:t>
            </w:r>
          </w:p>
        </w:tc>
      </w:tr>
    </w:tbl>
    <w:p>
      <w:pPr>
        <w:spacing w:after="120" w:before="0"/>
      </w:pPr>
    </w:p>
    <w:p>
      <w:pPr>
        <w:pStyle w:val="Heading1"/>
        <w:keepNext/>
        <w:spacing w:after="140" w:before="280"/>
      </w:pPr>
      <w:r>
        <w:rPr>
          <w:rFonts w:ascii="Times New Roman" w:cs="Times New Roman" w:eastAsia="Times New Roman" w:hAnsi="Times New Roman"/>
          <w:b/>
          <w:bCs/>
          <w:sz w:val="28"/>
          <w:szCs w:val="28"/>
        </w:rPr>
        <w:t xml:space="preserve">2. Regression Strategy</w:t>
      </w:r>
    </w:p>
    <w:p>
      <w:pPr>
        <w:pStyle w:val="Heading2"/>
        <w:keepNext/>
        <w:spacing w:after="120" w:before="200"/>
      </w:pPr>
      <w:r>
        <w:rPr>
          <w:rFonts w:ascii="Times New Roman" w:cs="Times New Roman" w:eastAsia="Times New Roman" w:hAnsi="Times New Roman"/>
          <w:b/>
          <w:bCs/>
          <w:sz w:val="26"/>
          <w:szCs w:val="26"/>
        </w:rPr>
        <w:t xml:space="preserve">2.1 Selection basis and suites</w:t>
      </w:r>
    </w:p>
    <w:p>
      <w:pPr>
        <w:spacing w:after="140" w:before="0" w:line="276"/>
        <w:jc w:val="both"/>
      </w:pPr>
      <w:r>
        <w:rPr>
          <w:rFonts w:ascii="Times New Roman" w:cs="Times New Roman" w:eastAsia="Times New Roman" w:hAnsi="Times New Roman"/>
          <w:sz w:val="22"/>
          <w:szCs w:val="22"/>
        </w:rPr>
        <w:t xml:space="preserve">Regression is chosen by risk. The Tender and the slides give no regression rule, so the suite of a test case follows its Severity, which is the harm a failure does. Severity 1 goes to Smoke, Severity 2 to Core, and Severity 3 and 4 to Extended. A test case with status Reject is Not ready, because its clause gives no testable result. This is assumption ASM-96. A Possible test case is never in Smoke, because Smoke is kept for the flow itself. A Possible test case of Severity 1 goes to Core and the others go to Extended, as ASM-100 states.</w:t>
      </w:r>
    </w:p>
    <w:p>
      <w:pPr>
        <w:keepNext/>
        <w:spacing w:after="80" w:before="120"/>
        <w:jc w:val="left"/>
      </w:pPr>
      <w:r>
        <w:rPr>
          <w:rFonts w:ascii="Times New Roman" w:cs="Times New Roman" w:eastAsia="Times New Roman" w:hAnsi="Times New Roman"/>
          <w:b/>
          <w:bCs/>
          <w:sz w:val="20"/>
          <w:szCs w:val="20"/>
        </w:rPr>
        <w:t xml:space="preserve">Table 3. Regression suites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838"/>
        <w:gridCol w:w="700"/>
        <w:gridCol w:w="800"/>
        <w:gridCol w:w="1000"/>
        <w:gridCol w:w="1200"/>
      </w:tblGrid>
      <w:tr>
        <w:trPr>
          <w:cantSplit/>
          <w:tblHeader/>
        </w:trPr>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Suite</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Rule</w:t>
            </w:r>
          </w:p>
        </w:tc>
        <w:tc>
          <w:tcPr>
            <w:tcW w:type="dxa" w:w="28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Run when</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New</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Direct</w:t>
            </w:r>
          </w:p>
        </w:tc>
        <w:tc>
          <w:tcPr>
            <w:tcW w:type="dxa" w:w="1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Possible</w:t>
            </w:r>
          </w:p>
        </w:tc>
        <w:tc>
          <w:tcPr>
            <w:tcW w:type="dxa" w:w="1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Total</w:t>
            </w:r>
          </w:p>
        </w:tc>
      </w:tr>
      <w:tr>
        <w:trPr>
          <w:cantSplit/>
          <w:tblHeader w:val="false"/>
        </w:trPr>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Smoke</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Severity 1</w:t>
            </w:r>
          </w:p>
        </w:tc>
        <w:tc>
          <w:tcPr>
            <w:tcW w:type="dxa" w:w="28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Every build, first. Stop the run if one case fails</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50</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64</w:t>
            </w:r>
          </w:p>
        </w:tc>
      </w:tr>
      <w:tr>
        <w:trPr>
          <w:cantSplit/>
          <w:tblHeader w:val="false"/>
        </w:trPr>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Core</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Severity 2, and Possible Severity 1</w:t>
            </w:r>
          </w:p>
        </w:tc>
        <w:tc>
          <w:tcPr>
            <w:tcW w:type="dxa" w:w="28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Every build, after Smoke passes</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8</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89</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101</w:t>
            </w:r>
          </w:p>
        </w:tc>
      </w:tr>
      <w:tr>
        <w:trPr>
          <w:cantSplit/>
          <w:tblHeader w:val="false"/>
        </w:trPr>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Extended</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Severity 3 and 4, and Possible Severity 2 to 4</w:t>
            </w:r>
          </w:p>
        </w:tc>
        <w:tc>
          <w:tcPr>
            <w:tcW w:type="dxa" w:w="28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Before release and at the end of each Sprint</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27</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85</w:t>
            </w:r>
          </w:p>
        </w:tc>
      </w:tr>
      <w:tr>
        <w:trPr>
          <w:cantSplit/>
          <w:tblHeader w:val="false"/>
        </w:trPr>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Not ready</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Status Reject</w:t>
            </w:r>
          </w:p>
        </w:tc>
        <w:tc>
          <w:tcPr>
            <w:tcW w:type="dxa" w:w="28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Not run until the Tender owner answers</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r>
      <w:tr>
        <w:trPr>
          <w:cantSplit/>
          <w:tblHeader w:val="false"/>
        </w:trPr>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Total</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
            </w:r>
          </w:p>
        </w:tc>
        <w:tc>
          <w:tcPr>
            <w:tcW w:type="dxa" w:w="28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26</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167</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58</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251</w:t>
            </w:r>
          </w:p>
        </w:tc>
      </w:tr>
    </w:tbl>
    <w:p>
      <w:pPr>
        <w:spacing w:after="120" w:before="0"/>
      </w:pPr>
    </w:p>
    <w:p>
      <w:pPr>
        <w:spacing w:after="140" w:before="0" w:line="276"/>
        <w:jc w:val="both"/>
      </w:pPr>
      <w:r>
        <w:rPr>
          <w:rFonts w:ascii="Times New Roman" w:cs="Times New Roman" w:eastAsia="Times New Roman" w:hAnsi="Times New Roman"/>
          <w:sz w:val="22"/>
          <w:szCs w:val="22"/>
        </w:rPr>
        <w:t xml:space="preserve">78 percent of the test cases are Draft, which means their expected result needs an assumption. Only 55 are Approve. All new test cases are Draft, because their expected result depends on the flow of ASM-98. This matters for triage, because a failed Draft case may show a wrong assumption and not a defect, as risk R2 in section 4.3 explains.</w:t>
      </w:r>
    </w:p>
    <w:p>
      <w:pPr>
        <w:pStyle w:val="Heading2"/>
        <w:keepNext/>
        <w:spacing w:after="120" w:before="200"/>
      </w:pPr>
      <w:r>
        <w:rPr>
          <w:rFonts w:ascii="Times New Roman" w:cs="Times New Roman" w:eastAsia="Times New Roman" w:hAnsi="Times New Roman"/>
          <w:b/>
          <w:bCs/>
          <w:sz w:val="26"/>
          <w:szCs w:val="26"/>
        </w:rPr>
        <w:t xml:space="preserve">2.2 Pack size by module and by flow step</w:t>
      </w:r>
    </w:p>
    <w:p>
      <w:pPr>
        <w:spacing w:after="140" w:before="0" w:line="276"/>
        <w:jc w:val="both"/>
      </w:pPr>
      <w:r>
        <w:rPr>
          <w:rFonts w:ascii="Times New Roman" w:cs="Times New Roman" w:eastAsia="Times New Roman" w:hAnsi="Times New Roman"/>
          <w:sz w:val="22"/>
          <w:szCs w:val="22"/>
        </w:rPr>
        <w:t xml:space="preserve">Funding holds 140 of the 251 test cases, so most of the regression effort is a Funding effort. Step 4, grant eligibility and fee, is the largest step with 79 test cases. Step 6, net fee and invoice, follows with 60 test cases. Table 5 also shows how many new and changed defects belong to each step.</w:t>
      </w:r>
    </w:p>
    <w:p>
      <w:pPr>
        <w:keepNext/>
        <w:spacing w:after="80" w:before="120"/>
        <w:jc w:val="left"/>
      </w:pPr>
      <w:r>
        <w:rPr>
          <w:rFonts w:ascii="Times New Roman" w:cs="Times New Roman" w:eastAsia="Times New Roman" w:hAnsi="Times New Roman"/>
          <w:b/>
          <w:bCs/>
          <w:sz w:val="20"/>
          <w:szCs w:val="20"/>
        </w:rPr>
        <w:t xml:space="preserve">Table 4. Suites by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400"/>
        <w:gridCol w:w="1400"/>
        <w:gridCol w:w="1400"/>
        <w:gridCol w:w="1400"/>
        <w:gridCol w:w="1400"/>
      </w:tblGrid>
      <w:tr>
        <w:trPr>
          <w:cantSplit/>
          <w:tblHeader/>
        </w:trPr>
        <w:tc>
          <w:tcPr>
            <w:tcW w:type="dxa" w:w="26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Module</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Smoke</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Core</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Extended</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Not ready</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Test cases</w:t>
            </w:r>
          </w:p>
        </w:tc>
      </w:tr>
      <w:tr>
        <w:trPr>
          <w:cantSplit/>
          <w:tblHeader w:val="false"/>
        </w:trPr>
        <w:tc>
          <w:tcPr>
            <w:tcW w:type="dxa" w:w="26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Enrolment</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21</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28</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41</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90</w:t>
            </w:r>
          </w:p>
        </w:tc>
      </w:tr>
      <w:tr>
        <w:trPr>
          <w:cantSplit/>
          <w:tblHeader w:val="false"/>
        </w:trPr>
        <w:tc>
          <w:tcPr>
            <w:tcW w:type="dxa" w:w="26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Assessment</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7</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8</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21</w:t>
            </w:r>
          </w:p>
        </w:tc>
      </w:tr>
      <w:tr>
        <w:trPr>
          <w:cantSplit/>
          <w:tblHeader w:val="false"/>
        </w:trPr>
        <w:tc>
          <w:tcPr>
            <w:tcW w:type="dxa" w:w="26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Funding</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37</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66</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36</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140</w:t>
            </w:r>
          </w:p>
        </w:tc>
      </w:tr>
      <w:tr>
        <w:trPr>
          <w:cantSplit/>
          <w:tblHeader w:val="false"/>
        </w:trPr>
        <w:tc>
          <w:tcPr>
            <w:tcW w:type="dxa" w:w="26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Total</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64</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101</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85</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1</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251</w:t>
            </w:r>
          </w:p>
        </w:tc>
      </w:tr>
    </w:tbl>
    <w:p>
      <w:pPr>
        <w:spacing w:after="120" w:before="0"/>
      </w:pPr>
    </w:p>
    <w:p>
      <w:pPr>
        <w:keepNext/>
        <w:spacing w:after="80" w:before="120"/>
        <w:jc w:val="left"/>
      </w:pPr>
      <w:r>
        <w:rPr>
          <w:rFonts w:ascii="Times New Roman" w:cs="Times New Roman" w:eastAsia="Times New Roman" w:hAnsi="Times New Roman"/>
          <w:b/>
          <w:bCs/>
          <w:sz w:val="20"/>
          <w:szCs w:val="20"/>
        </w:rPr>
        <w:t xml:space="preserve">Table 5. Suites and defects by flow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8"/>
        <w:gridCol w:w="800"/>
        <w:gridCol w:w="750"/>
        <w:gridCol w:w="700"/>
        <w:gridCol w:w="850"/>
        <w:gridCol w:w="900"/>
        <w:gridCol w:w="800"/>
        <w:gridCol w:w="800"/>
      </w:tblGrid>
      <w:tr>
        <w:trPr>
          <w:cantSplit/>
          <w:tblHeader/>
        </w:trPr>
        <w:tc>
          <w:tcPr>
            <w:tcW w:type="dxa" w:w="40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Flow step</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Smoke</w:t>
            </w:r>
          </w:p>
        </w:tc>
        <w:tc>
          <w:tcPr>
            <w:tcW w:type="dxa" w:w="7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Core</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Ext.</w:t>
            </w:r>
          </w:p>
        </w:tc>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Not ready</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Test cases</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New def.</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Chg. def.</w:t>
            </w:r>
          </w:p>
        </w:tc>
      </w:tr>
      <w:tr>
        <w:trPr>
          <w:cantSplit/>
          <w:tblHeader w:val="false"/>
        </w:trPr>
        <w:tc>
          <w:tcPr>
            <w:tcW w:type="dxa" w:w="4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1 Login and MyInfo</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7</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13</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r>
      <w:tr>
        <w:trPr>
          <w:cantSplit/>
          <w:tblHeader w:val="false"/>
        </w:trPr>
        <w:tc>
          <w:tcPr>
            <w:tcW w:type="dxa" w:w="4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2 Blacklist check</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r>
      <w:tr>
        <w:trPr>
          <w:cantSplit/>
          <w:tblHeader w:val="false"/>
        </w:trPr>
        <w:tc>
          <w:tcPr>
            <w:tcW w:type="dxa" w:w="4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3 Prerequisite and restriction check</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r>
      <w:tr>
        <w:trPr>
          <w:cantSplit/>
          <w:tblHeader w:val="false"/>
        </w:trPr>
        <w:tc>
          <w:tcPr>
            <w:tcW w:type="dxa" w:w="4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4 Grant eligibility and fee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17</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30</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79</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w:t>
            </w:r>
          </w:p>
        </w:tc>
      </w:tr>
      <w:tr>
        <w:trPr>
          <w:cantSplit/>
          <w:tblHeader w:val="false"/>
        </w:trPr>
        <w:tc>
          <w:tcPr>
            <w:tcW w:type="dxa" w:w="4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5 Seat confirm or waitlist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10</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7</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11</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28</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7</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r>
      <w:tr>
        <w:trPr>
          <w:cantSplit/>
          <w:tblHeader w:val="false"/>
        </w:trPr>
        <w:tc>
          <w:tcPr>
            <w:tcW w:type="dxa" w:w="4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6 Net fee and invoice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14</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29</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17</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60</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r>
      <w:tr>
        <w:trPr>
          <w:cantSplit/>
          <w:tblHeader w:val="false"/>
        </w:trPr>
        <w:tc>
          <w:tcPr>
            <w:tcW w:type="dxa" w:w="4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7 Outcome based funding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11</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8</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8</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27</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r>
      <w:tr>
        <w:trPr>
          <w:cantSplit/>
          <w:tblHeader w:val="false"/>
        </w:trPr>
        <w:tc>
          <w:tcPr>
            <w:tcW w:type="dxa" w:w="4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Total</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64</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101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85</w:t>
            </w:r>
          </w:p>
        </w:tc>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251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20</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11</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2.3 Regression pack by Sprint</w:t>
      </w:r>
    </w:p>
    <w:p>
      <w:pPr>
        <w:spacing w:after="140" w:before="0" w:line="276"/>
        <w:jc w:val="both"/>
      </w:pPr>
      <w:r>
        <w:rPr>
          <w:rFonts w:ascii="Times New Roman" w:cs="Times New Roman" w:eastAsia="Times New Roman" w:hAnsi="Times New Roman"/>
          <w:sz w:val="22"/>
          <w:szCs w:val="22"/>
        </w:rPr>
        <w:t xml:space="preserve">The pack grows with the Sprints. A test case joins the pack in the first Sprint named in its Sprint value and is run again in every later Sprint. This is plan assumption PA-1. A new test case carries the latest Sprint of the clauses it joins, because the join can be tested only then. A test case with no Sprint is held until the Tender owner schedules its clause. Table 6 shows what the pack holds at the end of each Sprint.</w:t>
      </w:r>
    </w:p>
    <w:p>
      <w:pPr>
        <w:keepNext/>
        <w:spacing w:after="80" w:before="120"/>
        <w:jc w:val="left"/>
      </w:pPr>
      <w:r>
        <w:rPr>
          <w:rFonts w:ascii="Times New Roman" w:cs="Times New Roman" w:eastAsia="Times New Roman" w:hAnsi="Times New Roman"/>
          <w:b/>
          <w:bCs/>
          <w:sz w:val="20"/>
          <w:szCs w:val="20"/>
        </w:rPr>
        <w:t xml:space="preserve">Table 6. Pack contents at the end of each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400"/>
        <w:gridCol w:w="1100"/>
        <w:gridCol w:w="1100"/>
        <w:gridCol w:w="1200"/>
        <w:gridCol w:w="2500"/>
      </w:tblGrid>
      <w:tr>
        <w:trPr>
          <w:cantSplit/>
          <w:tblHeader/>
        </w:trPr>
        <w:tc>
          <w:tcPr>
            <w:tcW w:type="dxa" w:w="23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Pack</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Added</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Smoke</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Core</w:t>
            </w:r>
          </w:p>
        </w:tc>
        <w:tc>
          <w:tcPr>
            <w:tcW w:type="dxa" w:w="1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Extended</w:t>
            </w:r>
          </w:p>
        </w:tc>
        <w:tc>
          <w:tcPr>
            <w:tcW w:type="dxa" w:w="2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Total in pack</w:t>
            </w:r>
          </w:p>
        </w:tc>
      </w:tr>
      <w:tr>
        <w:trPr>
          <w:cantSplit/>
          <w:tblHeader w:val="false"/>
        </w:trPr>
        <w:tc>
          <w:tcPr>
            <w:tcW w:type="dxa" w:w="2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End of Sprint 1</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65</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9</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26</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30</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65</w:t>
            </w:r>
          </w:p>
        </w:tc>
      </w:tr>
      <w:tr>
        <w:trPr>
          <w:cantSplit/>
          <w:tblHeader w:val="false"/>
        </w:trPr>
        <w:tc>
          <w:tcPr>
            <w:tcW w:type="dxa" w:w="2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End of Sprint 2</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123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47</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77</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64</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188</w:t>
            </w:r>
          </w:p>
        </w:tc>
      </w:tr>
      <w:tr>
        <w:trPr>
          <w:cantSplit/>
          <w:tblHeader w:val="false"/>
        </w:trPr>
        <w:tc>
          <w:tcPr>
            <w:tcW w:type="dxa" w:w="2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End of Sprint 3</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55</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63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95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85</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243</w:t>
            </w:r>
          </w:p>
        </w:tc>
      </w:tr>
      <w:tr>
        <w:trPr>
          <w:cantSplit/>
          <w:tblHeader w:val="false"/>
        </w:trPr>
        <w:tc>
          <w:tcPr>
            <w:tcW w:type="dxa" w:w="2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Held, no Sprint</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20"/>
                <w:szCs w:val="20"/>
              </w:rPr>
              <w:t xml:space="preserve">8</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20"/>
                <w:szCs w:val="20"/>
              </w:rPr>
              <w:t xml:space="preserve">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20"/>
                <w:szCs w:val="20"/>
              </w:rPr>
              <w:t xml:space="preserve">6</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20"/>
                <w:szCs w:val="20"/>
              </w:rPr>
              <w:t xml:space="preserve">0</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20"/>
                <w:szCs w:val="20"/>
              </w:rPr>
              <w:t xml:space="preserve">Not run, 1 is Not ready</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2.4 Run order</w:t>
      </w:r>
    </w:p>
    <w:p>
      <w:pPr>
        <w:spacing w:after="140" w:before="0" w:line="276"/>
        <w:jc w:val="both"/>
      </w:pPr>
      <w:r>
        <w:rPr>
          <w:rFonts w:ascii="Times New Roman" w:cs="Times New Roman" w:eastAsia="Times New Roman" w:hAnsi="Times New Roman"/>
          <w:sz w:val="22"/>
          <w:szCs w:val="22"/>
        </w:rPr>
        <w:t xml:space="preserve">The suites run in the order of Table 7 on every build that carries a defect fix or the start of a new Sprint. A failure in an earlier row stops the later rows.</w:t>
      </w:r>
    </w:p>
    <w:p>
      <w:pPr>
        <w:keepNext/>
        <w:spacing w:after="80" w:before="120"/>
        <w:jc w:val="left"/>
      </w:pPr>
      <w:r>
        <w:rPr>
          <w:rFonts w:ascii="Times New Roman" w:cs="Times New Roman" w:eastAsia="Times New Roman" w:hAnsi="Times New Roman"/>
          <w:b/>
          <w:bCs/>
          <w:sz w:val="20"/>
          <w:szCs w:val="20"/>
        </w:rPr>
        <w:t xml:space="preserve">Table 7. Run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138"/>
      </w:tblGrid>
      <w:tr>
        <w:trPr>
          <w:cantSplit/>
          <w:tblHeader/>
        </w:trPr>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Order</w:t>
            </w:r>
          </w:p>
        </w:tc>
        <w:tc>
          <w:tcPr>
            <w:tcW w:type="dxa" w:w="1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Run</w:t>
            </w:r>
          </w:p>
        </w:tc>
        <w:tc>
          <w:tcPr>
            <w:tcW w:type="dxa" w:w="71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Rule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Smoke</w:t>
            </w:r>
          </w:p>
        </w:tc>
        <w:tc>
          <w:tcPr>
            <w:tcW w:type="dxa" w:w="7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The build is deployed to SIT. Run all 64 Smoke cases. If one fails, stop the run and raise the defect.</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Retest</w:t>
            </w:r>
          </w:p>
        </w:tc>
        <w:tc>
          <w:tcPr>
            <w:tcW w:type="dxa" w:w="7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Run the related test case of each fixed defect. A fix is accepted only when it passes. Appendices A and B name the test case.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Core</w:t>
            </w:r>
          </w:p>
        </w:tc>
        <w:tc>
          <w:tcPr>
            <w:tcW w:type="dxa" w:w="7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Run all 101 Core cases after Smoke passes.</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4</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Extended</w:t>
            </w:r>
          </w:p>
        </w:tc>
        <w:tc>
          <w:tcPr>
            <w:tcW w:type="dxa" w:w="7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Run all 85 Extended cases before release and at the end of each Sprint.</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20"/>
                <w:szCs w:val="20"/>
              </w:rPr>
              <w:t xml:space="preserve">5</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Triage</w:t>
            </w:r>
          </w:p>
        </w:tc>
        <w:tc>
          <w:tcPr>
            <w:tcW w:type="dxa" w:w="71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Log each new failure as Module, Action, Symptom and Condition, give it a Severity from 1 to 4, then a Priority from Impact and Urgency.</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2.5 Retest and regression</w:t>
      </w:r>
    </w:p>
    <w:p>
      <w:pPr>
        <w:spacing w:after="140" w:before="0" w:line="276"/>
        <w:jc w:val="both"/>
      </w:pPr>
      <w:r>
        <w:rPr>
          <w:rFonts w:ascii="Times New Roman" w:cs="Times New Roman" w:eastAsia="Times New Roman" w:hAnsi="Times New Roman"/>
          <w:sz w:val="22"/>
          <w:szCs w:val="22"/>
        </w:rPr>
        <w:t xml:space="preserve">A retest checks that one fixed defect is gone, by running its related test case. A regression run checks that the rest of the flow still works after the change, by running the suites above. A retest happens once for each fix, and regression happens on every build. A case that passes the retest but fails in the regression run shows a new defect, so it is logged as a new defect and not reopened.</w:t>
      </w:r>
    </w:p>
    <w:p>
      <w:pPr>
        <w:pStyle w:val="Heading2"/>
        <w:keepNext/>
        <w:spacing w:after="120" w:before="200"/>
      </w:pPr>
      <w:r>
        <w:rPr>
          <w:rFonts w:ascii="Times New Roman" w:cs="Times New Roman" w:eastAsia="Times New Roman" w:hAnsi="Times New Roman"/>
          <w:b/>
          <w:bCs/>
          <w:sz w:val="26"/>
          <w:szCs w:val="26"/>
        </w:rPr>
        <w:t xml:space="preserve">2.6 Entry, exit and release criteria</w:t>
      </w:r>
    </w:p>
    <w:p>
      <w:pPr>
        <w:spacing w:after="140" w:before="0" w:line="276"/>
        <w:jc w:val="both"/>
      </w:pPr>
      <w:r>
        <w:rPr>
          <w:rFonts w:ascii="Times New Roman" w:cs="Times New Roman" w:eastAsia="Times New Roman" w:hAnsi="Times New Roman"/>
          <w:sz w:val="22"/>
          <w:szCs w:val="22"/>
        </w:rPr>
        <w:t xml:space="preserve">The entry and exit limits are not given by the Tender or the slides. The values below are mine and are recorded as ASM-97, so the course or the team should replace them if it has its own limits.</w:t>
      </w:r>
    </w:p>
    <w:p>
      <w:pPr>
        <w:keepNext/>
        <w:spacing w:after="80" w:before="120"/>
        <w:jc w:val="left"/>
      </w:pPr>
      <w:r>
        <w:rPr>
          <w:rFonts w:ascii="Times New Roman" w:cs="Times New Roman" w:eastAsia="Times New Roman" w:hAnsi="Times New Roman"/>
          <w:b/>
          <w:bCs/>
          <w:sz w:val="20"/>
          <w:szCs w:val="20"/>
        </w:rPr>
        <w:t xml:space="preserve">Table 8.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438"/>
        <w:gridCol w:w="2700"/>
      </w:tblGrid>
      <w:tr>
        <w:trPr>
          <w:cantSplit/>
          <w:tblHeader/>
        </w:trPr>
        <w:tc>
          <w:tcPr>
            <w:tcW w:type="dxa" w:w="1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Criterion</w:t>
            </w:r>
          </w:p>
        </w:tc>
        <w:tc>
          <w:tcPr>
            <w:tcW w:type="dxa" w:w="54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Rule</w:t>
            </w:r>
          </w:p>
        </w:tc>
        <w:tc>
          <w:tcPr>
            <w:tcW w:type="dxa" w:w="2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Basis</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Entry</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The build is deployed to SIT, the test endpoints or stubs are reachable, and Smoke starts.</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ASM-97, ASM-01, ASM-03</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Suspend</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Any Smoke failure stops the run until the defect is raised.</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ASM-97</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Resume</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After the fix and a passing retest, the run starts again from Smoke.</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PA-2</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Exit</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No open Severity 1 or 2 defect, all 101 Core cases run, and at least 95 percent of Core cases pass, which is 96 of 101. The Not ready case is not counted until the Tender owner answers NEG-02.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ASM-97</w:t>
            </w:r>
          </w:p>
        </w:tc>
      </w:tr>
      <w:tr>
        <w:trPr>
          <w:cantSplit/>
          <w:tblHeader w:val="false"/>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Release</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Extended has run in the Sprint, and each open Severity 3 or 4 defect has a decision of the owner.</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PA-3</w:t>
            </w:r>
          </w:p>
        </w:tc>
      </w:tr>
    </w:tbl>
    <w:p>
      <w:pPr>
        <w:spacing w:after="120" w:before="0"/>
      </w:pPr>
    </w:p>
    <w:p>
      <w:pPr>
        <w:pStyle w:val="Heading1"/>
        <w:keepNext/>
        <w:spacing w:after="140" w:before="280"/>
      </w:pPr>
      <w:r>
        <w:rPr>
          <w:rFonts w:ascii="Times New Roman" w:cs="Times New Roman" w:eastAsia="Times New Roman" w:hAnsi="Times New Roman"/>
          <w:b/>
          <w:bCs/>
          <w:sz w:val="28"/>
          <w:szCs w:val="28"/>
        </w:rPr>
        <w:t xml:space="preserve">3. Defect Triage and Regression Scope</w:t>
      </w:r>
    </w:p>
    <w:p>
      <w:pPr>
        <w:pStyle w:val="Heading2"/>
        <w:keepNext/>
        <w:spacing w:after="120" w:before="200"/>
      </w:pPr>
      <w:r>
        <w:rPr>
          <w:rFonts w:ascii="Times New Roman" w:cs="Times New Roman" w:eastAsia="Times New Roman" w:hAnsi="Times New Roman"/>
          <w:b/>
          <w:bCs/>
          <w:sz w:val="26"/>
          <w:szCs w:val="26"/>
        </w:rPr>
        <w:t xml:space="preserve">3.1 Severity and priority</w:t>
      </w:r>
    </w:p>
    <w:p>
      <w:pPr>
        <w:spacing w:after="140" w:before="0" w:line="276"/>
        <w:jc w:val="both"/>
      </w:pPr>
      <w:r>
        <w:rPr>
          <w:rFonts w:ascii="Times New Roman" w:cs="Times New Roman" w:eastAsia="Times New Roman" w:hAnsi="Times New Roman"/>
          <w:sz w:val="22"/>
          <w:szCs w:val="22"/>
        </w:rPr>
        <w:t xml:space="preserve">Severity says how bad a failure is, and Priority says how soon it must be handled. Severity uses the scale 1 to 4 where a smaller number is more severe, recorded as ASM-90. Priority is Impact times Urgency as in Lesson 4. Impact is High for Severity 1 and 2 and Low for Severity 3 and 4. Urgency is High for Severity 1 and for clauses delivered in Sprint 1 or Sprint 2, and Low for clauses of Sprint 3 only or without a Sprint. This is recorded as ASM-91 and ASM-92.</w:t>
      </w:r>
    </w:p>
    <w:p>
      <w:pPr>
        <w:keepNext/>
        <w:spacing w:after="80" w:before="120"/>
        <w:jc w:val="left"/>
      </w:pPr>
      <w:r>
        <w:rPr>
          <w:rFonts w:ascii="Times New Roman" w:cs="Times New Roman" w:eastAsia="Times New Roman" w:hAnsi="Times New Roman"/>
          <w:b/>
          <w:bCs/>
          <w:sz w:val="20"/>
          <w:szCs w:val="20"/>
        </w:rPr>
        <w:t xml:space="preserve">Table 9. Severity scale and the suite it feeds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38"/>
        <w:gridCol w:w="1100"/>
        <w:gridCol w:w="5000"/>
      </w:tblGrid>
      <w:tr>
        <w:trPr>
          <w:cantSplit/>
          <w:tblHeader/>
        </w:trPr>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Severity</w:t>
            </w:r>
          </w:p>
        </w:tc>
        <w:tc>
          <w:tcPr>
            <w:tcW w:type="dxa" w:w="26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Meaning</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Suite</w:t>
            </w:r>
          </w:p>
        </w:tc>
        <w:tc>
          <w:tcPr>
            <w:tcW w:type="dxa" w:w="5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Example in this flow</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1</w:t>
            </w:r>
          </w:p>
        </w:tc>
        <w:tc>
          <w:tcPr>
            <w:tcW w:type="dxa" w:w="26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Blocker, or money, funding or compliance break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Smoke</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DEF-076: Net fee becomes negative when the SSG grant, SFC and Alumni Course Credit together exceed the course fee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2</w:t>
            </w:r>
          </w:p>
        </w:tc>
        <w:tc>
          <w:tcPr>
            <w:tcW w:type="dxa" w:w="26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Critical or major function fails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Core</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DEF-082: Invoice is generated for a learner who is only on the waitlist</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3</w:t>
            </w:r>
          </w:p>
        </w:tc>
        <w:tc>
          <w:tcPr>
            <w:tcW w:type="dxa" w:w="26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Normal: wrong result with a workaround</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Extended</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DEF-088: Waitlist position shown to the learner does not move when an earlier learner withdraws</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4</w:t>
            </w:r>
          </w:p>
        </w:tc>
        <w:tc>
          <w:tcPr>
            <w:tcW w:type="dxa" w:w="26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Minor or cosmetic</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Extended</w:t>
            </w:r>
          </w:p>
        </w:tc>
        <w:tc>
          <w:tcPr>
            <w:tcW w:type="dxa" w:w="5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DEF-090: Outcome message shows the course date in a different format from the invoice</w:t>
            </w:r>
          </w:p>
        </w:tc>
      </w:tr>
    </w:tbl>
    <w:p>
      <w:pPr>
        <w:spacing w:after="120" w:before="0"/>
      </w:pPr>
    </w:p>
    <w:p>
      <w:pPr>
        <w:keepNext/>
        <w:spacing w:after="80" w:before="120"/>
        <w:jc w:val="left"/>
      </w:pPr>
      <w:r>
        <w:rPr>
          <w:rFonts w:ascii="Times New Roman" w:cs="Times New Roman" w:eastAsia="Times New Roman" w:hAnsi="Times New Roman"/>
          <w:b/>
          <w:bCs/>
          <w:sz w:val="20"/>
          <w:szCs w:val="20"/>
        </w:rPr>
        <w:t xml:space="preserve">Table 10. Priority matrix and the defects of this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838"/>
      </w:tblGrid>
      <w:tr>
        <w:trPr>
          <w:cantSplit/>
          <w:tblHeader/>
        </w:trPr>
        <w:tc>
          <w:tcPr>
            <w:tcW w:type="dxa" w:w="2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Impact</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Urgency</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Priority</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New</w:t>
            </w:r>
          </w:p>
        </w:tc>
        <w:tc>
          <w:tcPr>
            <w:tcW w:type="dxa" w:w="18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Changed, after</w:t>
            </w:r>
          </w:p>
        </w:tc>
      </w:tr>
      <w:tr>
        <w:trPr>
          <w:cantSplit/>
          <w:tblHeader w:val="false"/>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High</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High</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Critical</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15</w:t>
            </w:r>
          </w:p>
        </w:tc>
        <w:tc>
          <w:tcPr>
            <w:tcW w:type="dxa" w:w="18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11</w:t>
            </w:r>
          </w:p>
        </w:tc>
      </w:tr>
      <w:tr>
        <w:trPr>
          <w:cantSplit/>
          <w:tblHeader w:val="false"/>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High</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Low</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High</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c>
          <w:tcPr>
            <w:tcW w:type="dxa" w:w="18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r>
      <w:tr>
        <w:trPr>
          <w:cantSplit/>
          <w:tblHeader w:val="false"/>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Low</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High</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Medium</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c>
          <w:tcPr>
            <w:tcW w:type="dxa" w:w="18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r>
      <w:tr>
        <w:trPr>
          <w:cantSplit/>
          <w:tblHeader w:val="false"/>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Low</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Low</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Low</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20"/>
                <w:szCs w:val="20"/>
              </w:rPr>
              <w:t xml:space="preserve">1</w:t>
            </w:r>
          </w:p>
        </w:tc>
        <w:tc>
          <w:tcPr>
            <w:tcW w:type="dxa" w:w="18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20"/>
                <w:szCs w:val="20"/>
              </w:rPr>
              <w:t xml:space="preserve">0</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3.2 New defects</w:t>
      </w:r>
    </w:p>
    <w:p>
      <w:pPr>
        <w:spacing w:after="140" w:before="0" w:line="276"/>
        <w:jc w:val="both"/>
      </w:pPr>
      <w:r>
        <w:rPr>
          <w:rFonts w:ascii="Times New Roman" w:cs="Times New Roman" w:eastAsia="Times New Roman" w:hAnsi="Times New Roman"/>
          <w:sz w:val="22"/>
          <w:szCs w:val="22"/>
        </w:rPr>
        <w:t xml:space="preserve">The 20 new defects are potential defects, found by reading the clauses together and not by execution. They sit where two or more steps meet, such as the seat that is confirmed before the prerequisite result, or the grant that is not checked again when a learner leaves the waitlist. No single clause describes these joins, so the existing defects do not cover them. Of the 20, 10 are Severity 1, 7 are Severity 2, 2 are Severity 3 and 1 is Severity 4. Each has a new test case to retest it, and Table 11 shows where they fall in the flow. Appendix A lists them.</w:t>
      </w:r>
    </w:p>
    <w:p>
      <w:pPr>
        <w:keepNext/>
        <w:spacing w:after="80" w:before="120"/>
        <w:jc w:val="left"/>
      </w:pPr>
      <w:r>
        <w:rPr>
          <w:rFonts w:ascii="Times New Roman" w:cs="Times New Roman" w:eastAsia="Times New Roman" w:hAnsi="Times New Roman"/>
          <w:b/>
          <w:bCs/>
          <w:sz w:val="20"/>
          <w:szCs w:val="20"/>
        </w:rPr>
        <w:t xml:space="preserve">Table 11. New defects by flow step and severity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100"/>
        <w:gridCol w:w="1100"/>
        <w:gridCol w:w="1100"/>
        <w:gridCol w:w="1100"/>
        <w:gridCol w:w="2000"/>
      </w:tblGrid>
      <w:tr>
        <w:trPr>
          <w:cantSplit/>
          <w:tblHeader/>
        </w:trPr>
        <w:tc>
          <w:tcPr>
            <w:tcW w:type="dxa" w:w="32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Flow step</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Sev 1</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Sev 2</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Sev 3</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Sev 4</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Defects</w:t>
            </w:r>
          </w:p>
        </w:tc>
      </w:tr>
      <w:tr>
        <w:trPr>
          <w:cantSplit/>
          <w:tblHeader w:val="false"/>
        </w:trPr>
        <w:tc>
          <w:tcPr>
            <w:tcW w:type="dxa" w:w="32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1 Login and MyInfo</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r>
      <w:tr>
        <w:trPr>
          <w:cantSplit/>
          <w:tblHeader w:val="false"/>
        </w:trPr>
        <w:tc>
          <w:tcPr>
            <w:tcW w:type="dxa" w:w="32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2 Blacklist check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r>
      <w:tr>
        <w:trPr>
          <w:cantSplit/>
          <w:tblHeader w:val="false"/>
        </w:trPr>
        <w:tc>
          <w:tcPr>
            <w:tcW w:type="dxa" w:w="32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3 Prerequisite and restriction check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r>
      <w:tr>
        <w:trPr>
          <w:cantSplit/>
          <w:tblHeader w:val="false"/>
        </w:trPr>
        <w:tc>
          <w:tcPr>
            <w:tcW w:type="dxa" w:w="32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r>
      <w:tr>
        <w:trPr>
          <w:cantSplit/>
          <w:tblHeader w:val="false"/>
        </w:trPr>
        <w:tc>
          <w:tcPr>
            <w:tcW w:type="dxa" w:w="32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5 Seat confirm or waitlist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7</w:t>
            </w:r>
          </w:p>
        </w:tc>
      </w:tr>
      <w:tr>
        <w:trPr>
          <w:cantSplit/>
          <w:tblHeader w:val="false"/>
        </w:trPr>
        <w:tc>
          <w:tcPr>
            <w:tcW w:type="dxa" w:w="32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w:t>
            </w:r>
          </w:p>
        </w:tc>
      </w:tr>
      <w:tr>
        <w:trPr>
          <w:cantSplit/>
          <w:tblHeader w:val="false"/>
        </w:trPr>
        <w:tc>
          <w:tcPr>
            <w:tcW w:type="dxa" w:w="32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7 Outcome based 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0</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2</w:t>
            </w:r>
          </w:p>
        </w:tc>
      </w:tr>
      <w:tr>
        <w:trPr>
          <w:cantSplit/>
          <w:tblHeader w:val="false"/>
        </w:trPr>
        <w:tc>
          <w:tcPr>
            <w:tcW w:type="dxa" w:w="32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Total</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10</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7</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1</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20</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3.3 Existing defects changed by the feature</w:t>
      </w:r>
    </w:p>
    <w:p>
      <w:pPr>
        <w:spacing w:after="140" w:before="0" w:line="276"/>
        <w:jc w:val="both"/>
      </w:pPr>
      <w:r>
        <w:rPr>
          <w:rFonts w:ascii="Times New Roman" w:cs="Times New Roman" w:eastAsia="Times New Roman" w:hAnsi="Times New Roman"/>
          <w:sz w:val="22"/>
          <w:szCs w:val="22"/>
        </w:rPr>
        <w:t xml:space="preserve">Self-enrol removes the staff check. A defect whose symptom was caught or corrected by staff before money moved, and that now reaches the learner, the seat, the fee or the funding claim directly, takes the next more severe level, as ASM-101 states. A defect that stays in a report, a layout or an administrator only function keeps its severity. 11 existing defects change in this way. Table 12 gives the effect, and Appendix B lists them with their values before and after.</w:t>
      </w:r>
    </w:p>
    <w:p>
      <w:pPr>
        <w:keepNext/>
        <w:spacing w:after="80" w:before="120"/>
        <w:jc w:val="left"/>
      </w:pPr>
      <w:r>
        <w:rPr>
          <w:rFonts w:ascii="Times New Roman" w:cs="Times New Roman" w:eastAsia="Times New Roman" w:hAnsi="Times New Roman"/>
          <w:b/>
          <w:bCs/>
          <w:sz w:val="20"/>
          <w:szCs w:val="20"/>
        </w:rPr>
        <w:t xml:space="preserve">Table 12. Existing defects changed by the feature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900"/>
        <w:gridCol w:w="4338"/>
      </w:tblGrid>
      <w:tr>
        <w:trPr>
          <w:cantSplit/>
          <w:tblHeader/>
        </w:trPr>
        <w:tc>
          <w:tcPr>
            <w:tcW w:type="dxa" w:w="2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Severity</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Priority</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b/>
                <w:bCs/>
                <w:sz w:val="20"/>
                <w:szCs w:val="20"/>
              </w:rPr>
              <w:t xml:space="preserve">Defects</w:t>
            </w:r>
          </w:p>
        </w:tc>
        <w:tc>
          <w:tcPr>
            <w:tcW w:type="dxa" w:w="43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Defect IDs</w:t>
            </w:r>
          </w:p>
        </w:tc>
      </w:tr>
      <w:tr>
        <w:trPr>
          <w:cantSplit/>
          <w:tblHeader w:val="false"/>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Severity 2 to 1</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Critical to Critical</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5</w:t>
            </w:r>
          </w:p>
        </w:tc>
        <w:tc>
          <w:tcPr>
            <w:tcW w:type="dxa" w:w="4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DEF-025, DEF-032, DEF-036, DEF-042, DEF-067</w:t>
            </w:r>
          </w:p>
        </w:tc>
      </w:tr>
      <w:tr>
        <w:trPr>
          <w:cantSplit/>
          <w:tblHeader w:val="false"/>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Severity 2 to 1</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High to Critical</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w:t>
            </w:r>
          </w:p>
        </w:tc>
        <w:tc>
          <w:tcPr>
            <w:tcW w:type="dxa" w:w="4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DEF-037, DEF-045, DEF-065</w:t>
            </w:r>
          </w:p>
        </w:tc>
      </w:tr>
      <w:tr>
        <w:trPr>
          <w:cantSplit/>
          <w:tblHeader w:val="false"/>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Severity 3 to 2</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Medium to Critical</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center"/>
            </w:pPr>
            <w:r>
              <w:rPr>
                <w:rFonts w:ascii="Times New Roman" w:cs="Times New Roman" w:eastAsia="Times New Roman" w:hAnsi="Times New Roman"/>
                <w:sz w:val="20"/>
                <w:szCs w:val="20"/>
              </w:rPr>
              <w:t xml:space="preserve">3</w:t>
            </w:r>
          </w:p>
        </w:tc>
        <w:tc>
          <w:tcPr>
            <w:tcW w:type="dxa" w:w="4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DEF-029, DEF-034, DEF-041</w:t>
            </w:r>
          </w:p>
        </w:tc>
      </w:tr>
      <w:tr>
        <w:trPr>
          <w:cantSplit/>
          <w:tblHeader w:val="false"/>
        </w:trPr>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20"/>
                <w:szCs w:val="20"/>
              </w:rPr>
              <w:t xml:space="preserve">Total</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20"/>
                <w:szCs w:val="20"/>
              </w:rPr>
              <w:t xml:space="preserve">11</w:t>
            </w:r>
          </w:p>
        </w:tc>
        <w:tc>
          <w:tcPr>
            <w:tcW w:type="dxa" w:w="4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
            </w:r>
          </w:p>
        </w:tc>
      </w:tr>
    </w:tbl>
    <w:p>
      <w:pPr>
        <w:spacing w:after="120" w:before="0"/>
      </w:pPr>
    </w:p>
    <w:p>
      <w:pPr>
        <w:spacing w:after="140" w:before="0" w:line="276"/>
        <w:jc w:val="both"/>
      </w:pPr>
      <w:r>
        <w:rPr>
          <w:rFonts w:ascii="Times New Roman" w:cs="Times New Roman" w:eastAsia="Times New Roman" w:hAnsi="Times New Roman"/>
          <w:sz w:val="22"/>
          <w:szCs w:val="22"/>
        </w:rPr>
        <w:t xml:space="preserve">Impact is High for Severity 1 and 2, so a change from 2 to 1 raises the Priority only when Urgency also rises, as it does for the three defects of Sprint 3 only. A change from 3 to 2 moves Impact from Low to High, so the Priority of those three defects rises from Medium to Critical. Four existing test cases take the new severity of their defect, TC-SCN-045-02, TC-SCN-069-01, TC-SCN-093-01 and TC-SCN-148-01, each from Severity 2 to Severity 1, so that a Smoke defect has a Smoke test case. This applies only to the sheet Regression TestCases and is recorded as ASM-102. The sheet TestCases is not changed.</w:t>
      </w:r>
    </w:p>
    <w:p>
      <w:pPr>
        <w:pStyle w:val="Heading2"/>
        <w:keepNext/>
        <w:spacing w:after="120" w:before="200"/>
      </w:pPr>
      <w:r>
        <w:rPr>
          <w:rFonts w:ascii="Times New Roman" w:cs="Times New Roman" w:eastAsia="Times New Roman" w:hAnsi="Times New Roman"/>
          <w:b/>
          <w:bCs/>
          <w:sz w:val="26"/>
          <w:szCs w:val="26"/>
        </w:rPr>
        <w:t xml:space="preserve">3.4 From a defect to its regression scope</w:t>
      </w:r>
    </w:p>
    <w:p>
      <w:pPr>
        <w:spacing w:after="140" w:before="0" w:line="276"/>
        <w:jc w:val="both"/>
      </w:pPr>
      <w:r>
        <w:rPr>
          <w:rFonts w:ascii="Times New Roman" w:cs="Times New Roman" w:eastAsia="Times New Roman" w:hAnsi="Times New Roman"/>
          <w:sz w:val="22"/>
          <w:szCs w:val="22"/>
        </w:rPr>
        <w:t xml:space="preserve">When a defect is fixed, three things run. First is the retest of its related test case. Second are all the test cases of the same Tender clause in the same module, because the fix changed that clause. Third are all the Smoke cases of the flow step the defect belongs to, because a change there can stop the flow. A fix therefore pulls in between 5 and 19 test cases, 13 on average, counting each test case once. Appendices A and B give for each defect the severity, the priority, the suite and the test case to retest.</w:t>
      </w:r>
    </w:p>
    <w:p>
      <w:pPr>
        <w:spacing w:after="140" w:before="0" w:line="276"/>
        <w:jc w:val="both"/>
      </w:pPr>
      <w:r>
        <w:rPr>
          <w:rFonts w:ascii="Times New Roman" w:cs="Times New Roman" w:eastAsia="Times New Roman" w:hAnsi="Times New Roman"/>
          <w:sz w:val="22"/>
          <w:szCs w:val="22"/>
        </w:rPr>
        <w:t xml:space="preserve">As an example, DEF-076 is a Severity 1 defect on clause 6.4.3 in step 6 Net fee and invoice. Its retest is TC-SCN-R05-01. The clause has 6 test cases and step 6 has 14 Smoke cases, and these overlap, so the fix pulls in 19 test cases in all.</w:t>
      </w:r>
    </w:p>
    <w:p>
      <w:pPr>
        <w:pStyle w:val="Heading1"/>
        <w:keepNext/>
        <w:spacing w:after="140" w:before="280"/>
      </w:pPr>
      <w:r>
        <w:rPr>
          <w:rFonts w:ascii="Times New Roman" w:cs="Times New Roman" w:eastAsia="Times New Roman" w:hAnsi="Times New Roman"/>
          <w:b/>
          <w:bCs/>
          <w:sz w:val="28"/>
          <w:szCs w:val="28"/>
        </w:rPr>
        <w:t xml:space="preserve">4. Dependencies, Data and Risks</w:t>
      </w:r>
    </w:p>
    <w:p>
      <w:pPr>
        <w:pStyle w:val="Heading2"/>
        <w:keepNext/>
        <w:spacing w:after="120" w:before="200"/>
      </w:pPr>
      <w:r>
        <w:rPr>
          <w:rFonts w:ascii="Times New Roman" w:cs="Times New Roman" w:eastAsia="Times New Roman" w:hAnsi="Times New Roman"/>
          <w:b/>
          <w:bCs/>
          <w:sz w:val="26"/>
          <w:szCs w:val="26"/>
        </w:rPr>
        <w:t xml:space="preserve">4.1 Environment and data</w:t>
      </w:r>
    </w:p>
    <w:p>
      <w:pPr>
        <w:spacing w:after="140" w:before="0" w:line="276"/>
        <w:jc w:val="both"/>
      </w:pPr>
      <w:r>
        <w:rPr>
          <w:rFonts w:ascii="Times New Roman" w:cs="Times New Roman" w:eastAsia="Times New Roman" w:hAnsi="Times New Roman"/>
          <w:sz w:val="22"/>
          <w:szCs w:val="22"/>
        </w:rPr>
        <w:t xml:space="preserve">Tests run in SIT with one account for each role, as in ASM-01. SingPass, MyInfo, CorpPass, SSG, TPGateway, the SFC gateway and PSEA must be reachable through test endpoints or stubs, as in ASM-03. 60 of the 251 test cases are integration cases and cannot run without those endpoints, and the other 191 are functional cases. Step 7 needs attendance and assessment results, which the Tender delivers in Sprint 3, so these are entered as test data before then, as NEG-01 describes. The new test cases need data that joins steps, such as a learner who is waitlisted with a grant, or a company that is on the blacklist, and this data is listed in their Test Data column.</w:t>
      </w:r>
    </w:p>
    <w:p>
      <w:pPr>
        <w:pStyle w:val="Heading2"/>
        <w:keepNext/>
        <w:spacing w:after="120" w:before="200"/>
      </w:pPr>
      <w:r>
        <w:rPr>
          <w:rFonts w:ascii="Times New Roman" w:cs="Times New Roman" w:eastAsia="Times New Roman" w:hAnsi="Times New Roman"/>
          <w:b/>
          <w:bCs/>
          <w:sz w:val="26"/>
          <w:szCs w:val="26"/>
        </w:rPr>
        <w:t xml:space="preserve">4.2 Open Tender questions that touch the plan</w:t>
      </w:r>
    </w:p>
    <w:p>
      <w:pPr>
        <w:spacing w:after="140" w:before="0" w:line="276"/>
        <w:jc w:val="both"/>
      </w:pPr>
      <w:r>
        <w:rPr>
          <w:rFonts w:ascii="Times New Roman" w:cs="Times New Roman" w:eastAsia="Times New Roman" w:hAnsi="Times New Roman"/>
          <w:sz w:val="22"/>
          <w:szCs w:val="22"/>
        </w:rPr>
        <w:t xml:space="preserve">5 of the 8 open questions of the Negotiation sheet touch test cases in this plan. Until the Tender owner answers, the temporary handling in Table 13 applies, and the affected test cases stay Draft. If an answer changes an expected result, those cases are run again in the Sprint of the change.</w:t>
      </w:r>
    </w:p>
    <w:p>
      <w:pPr>
        <w:keepNext/>
        <w:spacing w:after="80" w:before="120"/>
        <w:jc w:val="left"/>
      </w:pPr>
      <w:r>
        <w:rPr>
          <w:rFonts w:ascii="Times New Roman" w:cs="Times New Roman" w:eastAsia="Times New Roman" w:hAnsi="Times New Roman"/>
          <w:b/>
          <w:bCs/>
          <w:sz w:val="20"/>
          <w:szCs w:val="20"/>
        </w:rPr>
        <w:t xml:space="preserve">Table 13. Open questions with test cases in the pack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800"/>
        <w:gridCol w:w="3000"/>
        <w:gridCol w:w="3200"/>
        <w:gridCol w:w="1788"/>
      </w:tblGrid>
      <w:tr>
        <w:trPr>
          <w:cantSplit/>
          <w:tblHeader/>
        </w:trPr>
        <w:tc>
          <w:tcPr>
            <w:tcW w:type="dxa" w:w="8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9"/>
                <w:szCs w:val="19"/>
              </w:rPr>
              <w:t xml:space="preserve">ID</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9"/>
                <w:szCs w:val="19"/>
              </w:rPr>
              <w:t xml:space="preserve">Clause</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9"/>
                <w:szCs w:val="19"/>
              </w:rPr>
              <w:t xml:space="preserve">Question for the Tender owner</w:t>
            </w:r>
          </w:p>
        </w:tc>
        <w:tc>
          <w:tcPr>
            <w:tcW w:type="dxa" w:w="3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9"/>
                <w:szCs w:val="19"/>
              </w:rPr>
              <w:t xml:space="preserve">Temporary handling</w:t>
            </w:r>
          </w:p>
        </w:tc>
        <w:tc>
          <w:tcPr>
            <w:tcW w:type="dxa" w:w="178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9"/>
                <w:szCs w:val="19"/>
              </w:rPr>
              <w:t xml:space="preserve">Test cases in the pack</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NEG-01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6.4.4</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Is the outcome based funding of Sprint 2 tested with attendance and results entered as data, or moved to Sprint 3?</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Draft test cases that set the attendance and the result as test data in Sprint 2</w:t>
            </w:r>
          </w:p>
        </w:tc>
        <w:tc>
          <w:tcPr>
            <w:tcW w:type="dxa" w:w="178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6 cases: Smoke, Core</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NEG-02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6.4.7</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5 percent of what and when is the cap almost fully utilized?</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Draft test cases with the assumption of ASM-66, one Reject case for the base</w:t>
            </w:r>
          </w:p>
        </w:tc>
        <w:tc>
          <w:tcPr>
            <w:tcW w:type="dxa" w:w="178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4 cases: Smoke, Core, Not ready</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NEG-03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8.5.1</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What does 8.5.1 require the System to do and under which conditions?</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Treat 8.5.1 as capacity based auto confirmation in order of application, ASM-33</w:t>
            </w:r>
          </w:p>
        </w:tc>
        <w:tc>
          <w:tcPr>
            <w:tcW w:type="dxa" w:w="178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7 cases: Smoke, Core</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NEG-05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8.7.1</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Is the registration blocked or flagged when the cap is reached?</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Draft test cases with the assumption of ASM-78</w:t>
            </w:r>
          </w:p>
        </w:tc>
        <w:tc>
          <w:tcPr>
            <w:tcW w:type="dxa" w:w="178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4 cases: Core, Extended</w:t>
            </w:r>
          </w:p>
        </w:tc>
      </w:tr>
      <w:tr>
        <w:trPr>
          <w:cantSplit/>
          <w:tblHeader w:val="false"/>
        </w:trPr>
        <w:tc>
          <w:tcPr>
            <w:tcW w:type="dxa" w:w="8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NEG-06</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9.1.12</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Which sprint does item 4 of 9.1.12, the remarks for SFC and alumni credits, belong to?</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Sprint 2 is used for the clause, as the other rows of 9.1.12 say 2</w:t>
            </w:r>
          </w:p>
        </w:tc>
        <w:tc>
          <w:tcPr>
            <w:tcW w:type="dxa" w:w="178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3 cases: Smoke, Core, Extended</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4.3 Risks</w:t>
      </w:r>
    </w:p>
    <w:p>
      <w:pPr>
        <w:keepNext/>
        <w:spacing w:after="80" w:before="120"/>
        <w:jc w:val="left"/>
      </w:pPr>
      <w:r>
        <w:rPr>
          <w:rFonts w:ascii="Times New Roman" w:cs="Times New Roman" w:eastAsia="Times New Roman" w:hAnsi="Times New Roman"/>
          <w:b/>
          <w:bCs/>
          <w:sz w:val="20"/>
          <w:szCs w:val="20"/>
        </w:rPr>
        <w:t xml:space="preserve">Table 14. Risks and responses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900"/>
        <w:gridCol w:w="3038"/>
      </w:tblGrid>
      <w:tr>
        <w:trPr>
          <w:cantSplit/>
          <w:tblHeader/>
        </w:trPr>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9"/>
                <w:szCs w:val="19"/>
              </w:rPr>
              <w:t xml:space="preserve">Risk</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9"/>
                <w:szCs w:val="19"/>
              </w:rPr>
              <w:t xml:space="preserve">What can happen</w:t>
            </w:r>
          </w:p>
        </w:tc>
        <w:tc>
          <w:tcPr>
            <w:tcW w:type="dxa" w:w="2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9"/>
                <w:szCs w:val="19"/>
              </w:rPr>
              <w:t xml:space="preserve">Effect on the plan</w:t>
            </w:r>
          </w:p>
        </w:tc>
        <w:tc>
          <w:tcPr>
            <w:tcW w:type="dxa" w:w="30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9"/>
                <w:szCs w:val="19"/>
              </w:rPr>
              <w:t xml:space="preserve">Response</w:t>
            </w:r>
          </w:p>
        </w:tc>
      </w:tr>
      <w:tr>
        <w:trPr>
          <w:cantSplit/>
          <w:tblHeader w:val="false"/>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R1</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The seven step flow is inferred and the real flow differs, see ASM-98.</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The step of a clause changes, and so does the Smoke set of the step. The new test cases and defects change too.</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Confirm the flow with the Tender owner first. Then change the Flow step column and the new rows.</w:t>
            </w:r>
          </w:p>
        </w:tc>
      </w:tr>
      <w:tr>
        <w:trPr>
          <w:cantSplit/>
          <w:tblHeader w:val="false"/>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R2</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78 percent of the test cases are Draft.</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 failure may show a wrong assumption and not a defect.</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Check the assumption of a failed Draft case before logging a defect.</w:t>
            </w:r>
          </w:p>
        </w:tc>
      </w:tr>
      <w:tr>
        <w:trPr>
          <w:cantSplit/>
          <w:tblHeader w:val="false"/>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R3</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Smoke is 64 cases, 25 percent of the pack, and one failure stops the run.</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One failure blocks Core and Extended.</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Triage a Smoke failure before anything else and keep Smoke to Severity 1 only.</w:t>
            </w:r>
          </w:p>
        </w:tc>
      </w:tr>
      <w:tr>
        <w:trPr>
          <w:cantSplit/>
          <w:tblHeader w:val="false"/>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R4</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Funding rule 6.4.4 needs Sprint 3 data, see NEG-01.</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Step 7 cannot be tested end to end in Sprint 2.</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Use attendance and results as test data, then run again in Sprint 3.</w:t>
            </w:r>
          </w:p>
        </w:tc>
      </w:tr>
      <w:tr>
        <w:trPr>
          <w:cantSplit/>
          <w:tblHeader w:val="false"/>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R5</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An external test endpoint is missing, see ASM-03.</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Up to 60 integration cases cannot run.</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Report them as not run, not as failed, and raise the missing endpoint.</w:t>
            </w:r>
          </w:p>
        </w:tc>
      </w:tr>
      <w:tr>
        <w:trPr>
          <w:cantSplit/>
          <w:tblHeader w:val="false"/>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R6</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The severity scale and exit limits are my figures, see ASM-90 and ASM-97.</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Suite membership and the exit rule can change.</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Confirm the limits with the course or the team, then update the suite column.</w:t>
            </w:r>
          </w:p>
        </w:tc>
      </w:tr>
      <w:tr>
        <w:trPr>
          <w:cantSplit/>
          <w:tblHeader w:val="false"/>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R7</w:t>
            </w:r>
          </w:p>
        </w:tc>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The Possible clauses and the severity changes are my judgement, see ASM-99 and ASM-101.</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Some clauses may be missing from the pack or may not need to be in it.</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Review Appendices B and C with the Tender owner and move rows between the groups.</w:t>
            </w:r>
          </w:p>
        </w:tc>
      </w:tr>
    </w:tbl>
    <w:p>
      <w:pPr>
        <w:spacing w:after="120" w:before="0"/>
      </w:pPr>
    </w:p>
    <w:p>
      <w:pPr>
        <w:pStyle w:val="Heading1"/>
        <w:keepNext/>
        <w:spacing w:after="140" w:before="280"/>
      </w:pPr>
      <w:r>
        <w:rPr>
          <w:rFonts w:ascii="Times New Roman" w:cs="Times New Roman" w:eastAsia="Times New Roman" w:hAnsi="Times New Roman"/>
          <w:b/>
          <w:bCs/>
          <w:sz w:val="28"/>
          <w:szCs w:val="28"/>
        </w:rPr>
        <w:t xml:space="preserve">5. Assumptions, Rules Applied and References</w:t>
      </w:r>
    </w:p>
    <w:p>
      <w:pPr>
        <w:pStyle w:val="Heading2"/>
        <w:keepNext/>
        <w:spacing w:after="120" w:before="200"/>
      </w:pPr>
      <w:r>
        <w:rPr>
          <w:rFonts w:ascii="Times New Roman" w:cs="Times New Roman" w:eastAsia="Times New Roman" w:hAnsi="Times New Roman"/>
          <w:b/>
          <w:bCs/>
          <w:sz w:val="26"/>
          <w:szCs w:val="26"/>
        </w:rPr>
        <w:t xml:space="preserve">5.1 Assumptions</w:t>
      </w:r>
    </w:p>
    <w:p>
      <w:pPr>
        <w:spacing w:after="140" w:before="0" w:line="276"/>
        <w:jc w:val="both"/>
      </w:pPr>
      <w:r>
        <w:rPr>
          <w:rFonts w:ascii="Times New Roman" w:cs="Times New Roman" w:eastAsia="Times New Roman" w:hAnsi="Times New Roman"/>
          <w:sz w:val="22"/>
          <w:szCs w:val="22"/>
        </w:rPr>
        <w:t xml:space="preserve">ASM numbers are the same as in the workbook Tender_TestCases_Defects_and_Regression.xlsx. ASM-90 to ASM-92 are in the sheet Assumptions, and ASM-96 to ASM-103 are in the sheet Regression Assumptions. PA numbers are plan rules that are new in this document. All are open until confirmed.</w:t>
      </w:r>
    </w:p>
    <w:p>
      <w:pPr>
        <w:keepNext/>
        <w:spacing w:after="80" w:before="120"/>
        <w:jc w:val="left"/>
      </w:pPr>
      <w:r>
        <w:rPr>
          <w:rFonts w:ascii="Times New Roman" w:cs="Times New Roman" w:eastAsia="Times New Roman" w:hAnsi="Times New Roman"/>
          <w:b/>
          <w:bCs/>
          <w:sz w:val="20"/>
          <w:szCs w:val="20"/>
        </w:rPr>
        <w:t xml:space="preserve">Table 15.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338"/>
        <w:gridCol w:w="3300"/>
      </w:tblGrid>
      <w:tr>
        <w:trPr>
          <w:cantSplit/>
          <w:tblHeader/>
        </w:trPr>
        <w:tc>
          <w:tcPr>
            <w:tcW w:type="dxa" w:w="1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9"/>
                <w:szCs w:val="19"/>
              </w:rPr>
              <w:t xml:space="preserve">ID</w:t>
            </w:r>
          </w:p>
        </w:tc>
        <w:tc>
          <w:tcPr>
            <w:tcW w:type="dxa" w:w="53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9"/>
                <w:szCs w:val="19"/>
              </w:rPr>
              <w:t xml:space="preserve">Assumption</w:t>
            </w:r>
          </w:p>
        </w:tc>
        <w:tc>
          <w:tcPr>
            <w:tcW w:type="dxa" w:w="33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9"/>
                <w:szCs w:val="19"/>
              </w:rPr>
              <w:t xml:space="preserve">Question to confirm</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ASM-90</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Severity uses 1 to 4 and a smaller number is more severe. 1 is a blocker or a money, funding or compliance break, 2 is critical or major, 3 is normal, 4 is minor.</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What does each severity number mean in the course?</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ASM-91</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The defects are potential and none was found by execution. Impact is High for Severity 1 and 2 and Low for 3 and 4. Priority is Impact times Urgency as in Lesson 4.</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Who decides Urgency and when?</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ASM-92</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Urgency is High for Severity 1 and for clauses delivered in Sprint 1 or Sprint 2, and Low for clauses of Sprint 3 only or without a Sprint.</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Is urgency driven by Sprint order?</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ASM-96</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The suite of a test case follows its Severity: 1 is Smoke, 2 is Core, 3 and 4 is Extended. Reject is Not ready. Only Direct clauses, Possible clauses and the new test cases are in the pack.</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Is regression selected by risk or by changed component?</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ASM-97</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Entry is a build deployed to SIT with all Smoke cases passing. Exit is no open Severity 1 or 2 defect, all Core cases run and at least 95 percent of Core cases passed. The 95 percent is my figure.</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What are the entry and exit limits?</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ASM-98</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The flow has seven steps: login and MyInfo, blacklist check, prerequisite and restriction check, grant eligibility and fee, seat confirm or waitlist, net fee and invoice, outcome based funding.</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What are the steps of Self-Enrol + Funding?</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ASM-99</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 clause on a step of the flow is Direct. A clause that is not on a step but shares data, a rule or a trigger with a Direct clause is Possible. The other clauses are not affected.</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Which other clauses read the data or the result of the flow?</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ASM-100</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 Possible test case is never Smoke. Possible with Severity 1 is Core and the others are Extended.</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Should side effect test cases ever be in Smoke?</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ASM-101</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 defect that staff caught or corrected before money moved, and that now reaches the learner, the seat, the fee or the funding claim directly, takes the next more severe level.</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Does the removal of staff review raise these severities?</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ASM-102</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In the sheet Regression TestCases, a test case linked to a changed defect takes the new severity of the defect when that is more severe. A new test case takes the severity of its new defect.</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Is the test case severity raised with the defect severity?</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ASM-103</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New defects and test cases are placed where steps meet. The Sprint is the latest Sprint of the clauses involved, and the Checkpoint Ref is the checkpoint of the clause that states the rule.</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Is there a Tender clause for Self-Enrol + Funding?</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PA-1</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 test case joins the pack in the first Sprint of its Sprint value and runs in every later Sprint. Test cases with no Sprint are held.</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Does the team add cases by first Sprint?</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PA-2</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After a fix and a passing retest, the run starts again from Smoke.</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Is a full Smoke run needed after each fix?</w:t>
            </w:r>
          </w:p>
        </w:tc>
      </w:tr>
      <w:tr>
        <w:trPr>
          <w:cantSplit/>
          <w:tblHeader w:val="false"/>
        </w:trPr>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PA-3</w:t>
            </w:r>
          </w:p>
        </w:tc>
        <w:tc>
          <w:tcPr>
            <w:tcW w:type="dxa" w:w="53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For release, Extended has run in the Sprint and each open Severity 3 or 4 defect has a decision of the owner.</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9"/>
                <w:szCs w:val="19"/>
              </w:rPr>
              <w:t xml:space="preserve">Who decides on open low severity defects?</w:t>
            </w:r>
          </w:p>
        </w:tc>
      </w:tr>
    </w:tbl>
    <w:p>
      <w:pPr>
        <w:spacing w:after="120" w:before="0"/>
      </w:pPr>
    </w:p>
    <w:p>
      <w:pPr>
        <w:pStyle w:val="Heading2"/>
        <w:keepNext/>
        <w:spacing w:after="120" w:before="200"/>
      </w:pPr>
      <w:r>
        <w:rPr>
          <w:rFonts w:ascii="Times New Roman" w:cs="Times New Roman" w:eastAsia="Times New Roman" w:hAnsi="Times New Roman"/>
          <w:b/>
          <w:bCs/>
          <w:sz w:val="26"/>
          <w:szCs w:val="26"/>
        </w:rPr>
        <w:t xml:space="preserve">5.2 References</w:t>
      </w:r>
    </w:p>
    <w:p>
      <w:pPr>
        <w:keepNext/>
        <w:spacing w:after="80" w:before="120"/>
        <w:jc w:val="left"/>
      </w:pPr>
      <w:r>
        <w:rPr>
          <w:rFonts w:ascii="Times New Roman" w:cs="Times New Roman" w:eastAsia="Times New Roman" w:hAnsi="Times New Roman"/>
          <w:b/>
          <w:bCs/>
          <w:sz w:val="20"/>
          <w:szCs w:val="20"/>
        </w:rPr>
        <w:t xml:space="preserve">Table 16.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Source</w:t>
            </w:r>
          </w:p>
        </w:tc>
        <w:tc>
          <w:tcPr>
            <w:tcW w:type="dxa" w:w="543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spacing w:after="0" w:before="0" w:line="252"/>
              <w:jc w:val="left"/>
            </w:pPr>
            <w:r>
              <w:rPr>
                <w:rFonts w:ascii="Times New Roman" w:cs="Times New Roman" w:eastAsia="Times New Roman" w:hAnsi="Times New Roman"/>
                <w:b/>
                <w:bCs/>
                <w:sz w:val="20"/>
                <w:szCs w:val="20"/>
              </w:rPr>
              <w:t xml:space="preserve">Used for</w:t>
            </w:r>
          </w:p>
        </w:tc>
      </w:tr>
      <w:tr>
        <w:trPr>
          <w:cantSplit/>
          <w:tblHeader w:val="false"/>
        </w:trPr>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Tender_requirements_0232.xlsx</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The only source of requirements.</w:t>
            </w:r>
          </w:p>
        </w:tc>
      </w:tr>
      <w:tr>
        <w:trPr>
          <w:cantSplit/>
          <w:tblHeader w:val="false"/>
        </w:trPr>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Tender_TestCases_Defects_and_Regression.xlsx</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All test cases and defects of the three modules, the sheets Regression TestCases, Regression Defects and Regression Assumptions, and the Negotiation sheet.</w:t>
            </w:r>
          </w:p>
        </w:tc>
      </w:tr>
      <w:tr>
        <w:trPr>
          <w:cantSplit/>
          <w:tblHeader w:val="false"/>
        </w:trPr>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Self-Enrol_Funding_Impact_Report.docx</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What the feature affects and the severity of each effect.</w:t>
            </w:r>
          </w:p>
        </w:tc>
      </w:tr>
      <w:tr>
        <w:trPr>
          <w:cantSplit/>
          <w:tblHeader w:val="false"/>
        </w:trPr>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Slide 44, Individual Assignment</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spacing w:after="0" w:before="0" w:line="252"/>
              <w:jc w:val="left"/>
            </w:pPr>
            <w:r>
              <w:rPr>
                <w:rFonts w:ascii="Times New Roman" w:cs="Times New Roman" w:eastAsia="Times New Roman" w:hAnsi="Times New Roman"/>
                <w:sz w:val="20"/>
                <w:szCs w:val="20"/>
              </w:rPr>
              <w:t xml:space="preserve">The task: defect triage and a regression plan for Self-Enrol + Funding.</w:t>
            </w:r>
          </w:p>
        </w:tc>
      </w:tr>
      <w:tr>
        <w:trPr>
          <w:cantSplit/>
          <w:tblHeader w:val="false"/>
        </w:trPr>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Lessons 3 and 4</w:t>
            </w:r>
          </w:p>
        </w:tc>
        <w:tc>
          <w:tcPr>
            <w:tcW w:type="dxa" w:w="5438"/>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20"/>
                <w:szCs w:val="20"/>
              </w:rPr>
              <w:t xml:space="preserve">Risk based regression scope, retest and regression, Impact times Urgency.</w:t>
            </w:r>
          </w:p>
        </w:tc>
      </w:tr>
    </w:tbl>
    <w:p>
      <w:pPr>
        <w:sectPr>
          <w:footerReference w:type="default" r:id="rId7"/>
          <w:pgSz w:w="11906" w:h="16838" w:orient="portrait"/>
          <w:pgMar w:top="1134" w:right="1134" w:bottom="1134" w:left="1134" w:header="708" w:footer="708" w:gutter="0"/>
          <w:pgNumType/>
          <w:docGrid w:linePitch="360"/>
        </w:sectPr>
      </w:pPr>
    </w:p>
    <w:p>
      <w:pPr>
        <w:pStyle w:val="Heading1"/>
        <w:keepNext/>
        <w:spacing w:after="140" w:before="280"/>
      </w:pPr>
      <w:r>
        <w:rPr>
          <w:rFonts w:ascii="Times New Roman" w:cs="Times New Roman" w:eastAsia="Times New Roman" w:hAnsi="Times New Roman"/>
          <w:b/>
          <w:bCs/>
          <w:sz w:val="28"/>
          <w:szCs w:val="28"/>
        </w:rPr>
        <w:t xml:space="preserve">Appendix A. New Defects</w:t>
      </w:r>
    </w:p>
    <w:p>
      <w:pPr>
        <w:keepNext/>
        <w:spacing w:after="120" w:before="0" w:line="276"/>
        <w:jc w:val="both"/>
      </w:pPr>
      <w:r>
        <w:rPr>
          <w:rFonts w:ascii="Times New Roman" w:cs="Times New Roman" w:eastAsia="Times New Roman" w:hAnsi="Times New Roman"/>
          <w:sz w:val="22"/>
          <w:szCs w:val="22"/>
        </w:rPr>
        <w:t xml:space="preserve">The 20 new potential defects, in the order of their IDs. Suite follows the Severity of the defect. Retest is the new test case that must pass after the fix. Regression is the number of test cases pulled in by the fix, which are the test cases of the same clause plus the Smoke cases of the step, counted once.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50"/>
        <w:gridCol w:w="2250"/>
        <w:gridCol w:w="650"/>
        <w:gridCol w:w="900"/>
        <w:gridCol w:w="1250"/>
        <w:gridCol w:w="1600"/>
        <w:gridCol w:w="800"/>
        <w:gridCol w:w="4370"/>
      </w:tblGrid>
      <w:tr>
        <w:trPr>
          <w:cantSplit/>
          <w:tblHeader/>
        </w:trPr>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Defect</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Module</w:t>
            </w:r>
          </w:p>
        </w:tc>
        <w:tc>
          <w:tcPr>
            <w:tcW w:type="dxa" w:w="7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Clause</w:t>
            </w:r>
          </w:p>
        </w:tc>
        <w:tc>
          <w:tcPr>
            <w:tcW w:type="dxa" w:w="22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Flow step</w:t>
            </w:r>
          </w:p>
        </w:tc>
        <w:tc>
          <w:tcPr>
            <w:tcW w:type="dxa" w:w="6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7"/>
                <w:szCs w:val="17"/>
              </w:rPr>
              <w:t xml:space="preserve">Sev</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Priority</w:t>
            </w:r>
          </w:p>
        </w:tc>
        <w:tc>
          <w:tcPr>
            <w:tcW w:type="dxa" w:w="12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Suite</w:t>
            </w:r>
          </w:p>
        </w:tc>
        <w:tc>
          <w:tcPr>
            <w:tcW w:type="dxa" w:w="1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Retest</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7"/>
                <w:szCs w:val="17"/>
              </w:rPr>
              <w:t xml:space="preserve">Regr.</w:t>
            </w:r>
          </w:p>
        </w:tc>
        <w:tc>
          <w:tcPr>
            <w:tcW w:type="dxa" w:w="437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Summary</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DEF-071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8.2.5</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TC-SCN-R02-01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5</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[Registration] Fee band and grant use the age saved in the account instead of the MyInfo age of this sign in</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DEF-072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8.6.2</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 Blacklist check</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TC-SCN-R02-02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8</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[Registration] Applicant added to the SSG blacklist by the sync is still enrolled on the next self-enrolment</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DEF-073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8.5.1</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TC-SCN-R02-04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8</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Seat is confirmed for an applicant who fails the prerequisite check</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DEF-074</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8.5.1</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TC-SCN-R03-01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11</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The last seat is confirmed for two learners who submit at the same time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DEF-075</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8.5.3</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TC-SCN-R04-01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15</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Waitlisted learner is promoted to a seat but is charged the full fee without the grant</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DEF-076</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6.4.3</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TC-SCN-R05-01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19</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Net fee becomes negative when the SSG grant, SFC and Alumni Course Credit together exceed the course fee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DEF-077</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6.3.3</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TC-SCN-R06-01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19</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Withdrawal requested in the portal and approved does not reverse the SSG grant</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DEF-078</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8.5.16</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TC-SCN-R03-03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12</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Waitlisted learner is sent to TPGateway as enrolled</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DEF-079</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6.4.4</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TC-SCN-R07-01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11</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Learner with the status Completed but no released marks is funded as a pass</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DEF-080</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8.6.2</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 Blacklist check</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High</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Regression Core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TC-SCN-R02-03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8</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[Registration] Company sponsored learner is enrolled although the sponsoring company is blacklisted for non payment</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DEF-081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8.5.3</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Regression Core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TC-SCN-R03-02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15</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Seat stays held for a learner whose grant check failed and the waitlist does not move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DEF-082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9.1.9</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Regression Core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TC-SCN-R05-02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17</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Invoice is generated for a learner who is only on the waitlist</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DEF-083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6.3.4</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Regression Core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TC-SCN-R05-03</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17</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Company sponsored learner receives an applicant payment request instead of a sponsor invoice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DEF-084</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8.5.9</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Regression Core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TC-SCN-R06-02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13</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Seat of a learner who requests withdrawal is given to the waitlist before the approval</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DEF-085</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8.4.1</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Regression Core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TC-SCN-R02-05</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7</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Application to a course that requires shortlisting is confirmed automatically</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DEF-086</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11.1.2</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TC-SCN-R05-04</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17</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SFC used for an application that is not confirmed is not returned to the learner balance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DEF-087</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10.1.3</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High</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Regression Core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TC-SCN-R07-02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13</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 Sessions marked through SingPass e-attendance are not counted in the attendance rate used for funding</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DEF-088</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8.5.3</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Medium</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Regression Extended</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TC-SCN-R04-02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15</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Waitlist position shown to the learner does not move when an earlier learner withdraws</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DEF-089</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8.2.6</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Medium</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Regression Extended</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TC-SCN-R08-01</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5</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[Registration] Saved self-enrolment draft is deleted after the sign in times out</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DEF-090</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8.1.14</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6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4</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Low</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Regression Extended</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TC-SCN-R08-02</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13</w:t>
            </w:r>
          </w:p>
        </w:tc>
        <w:tc>
          <w:tcPr>
            <w:tcW w:type="dxa" w:w="43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Outcome message shows the course date in a different format from the invoice</w:t>
            </w:r>
          </w:p>
        </w:tc>
      </w:tr>
    </w:tbl>
    <w:p>
      <w:pPr>
        <w:spacing w:after="200" w:before="0"/>
      </w:pPr>
    </w:p>
    <w:p>
      <w:pPr>
        <w:pStyle w:val="Heading1"/>
        <w:keepNext/>
        <w:spacing w:after="140" w:before="280"/>
      </w:pPr>
      <w:r>
        <w:rPr>
          <w:rFonts w:ascii="Times New Roman" w:cs="Times New Roman" w:eastAsia="Times New Roman" w:hAnsi="Times New Roman"/>
          <w:b/>
          <w:bCs/>
          <w:sz w:val="28"/>
          <w:szCs w:val="28"/>
        </w:rPr>
        <w:t xml:space="preserve">Appendix B. Existing Defects Changed by the Feature</w:t>
      </w:r>
    </w:p>
    <w:p>
      <w:pPr>
        <w:keepNext/>
        <w:spacing w:after="120" w:before="0" w:line="276"/>
        <w:jc w:val="both"/>
      </w:pPr>
      <w:r>
        <w:rPr>
          <w:rFonts w:ascii="Times New Roman" w:cs="Times New Roman" w:eastAsia="Times New Roman" w:hAnsi="Times New Roman"/>
          <w:sz w:val="22"/>
          <w:szCs w:val="22"/>
        </w:rPr>
        <w:t xml:space="preserve">The 11 existing defects whose severity changes. The values before are those of the sheet Defects. The reason is the effect of removing the staff check, as ASM-101 states.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750"/>
        <w:gridCol w:w="2000"/>
        <w:gridCol w:w="1000"/>
        <w:gridCol w:w="1700"/>
        <w:gridCol w:w="1250"/>
        <w:gridCol w:w="1500"/>
        <w:gridCol w:w="700"/>
        <w:gridCol w:w="4770"/>
      </w:tblGrid>
      <w:tr>
        <w:trPr>
          <w:cantSplit/>
          <w:tblHeader/>
        </w:trPr>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Defect</w:t>
            </w:r>
          </w:p>
        </w:tc>
        <w:tc>
          <w:tcPr>
            <w:tcW w:type="dxa" w:w="7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Clause</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Flow step</w:t>
            </w:r>
          </w:p>
        </w:tc>
        <w:tc>
          <w:tcPr>
            <w:tcW w:type="dxa" w:w="1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7"/>
                <w:szCs w:val="17"/>
              </w:rPr>
              <w:t xml:space="preserve">Severity</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Priority</w:t>
            </w:r>
          </w:p>
        </w:tc>
        <w:tc>
          <w:tcPr>
            <w:tcW w:type="dxa" w:w="12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Suite</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Retest</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7"/>
                <w:szCs w:val="17"/>
              </w:rPr>
              <w:t xml:space="preserve">Regr.</w:t>
            </w:r>
          </w:p>
        </w:tc>
        <w:tc>
          <w:tcPr>
            <w:tcW w:type="dxa" w:w="477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Defect and reason for the change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DEF-025</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8.1.8</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 to 1</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 to 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TC-SCN-045-02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16</w:t>
            </w:r>
          </w:p>
        </w:tc>
        <w:tc>
          <w:tcPr>
            <w:tcW w:type="dxa" w:w="47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Withdrawn paid application does not generate a credit note. A learner can withdraw in the portal without staff. A missing credit note leaves paid money with the System and nobody sees it before the learner complains, so the harm is money.</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DEF-029</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8.2.5</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 to 2</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Medium to 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Regression Core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TC-SCN-056-01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5</w:t>
            </w:r>
          </w:p>
        </w:tc>
        <w:tc>
          <w:tcPr>
            <w:tcW w:type="dxa" w:w="47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[Registration] MyInfo data is not filled and the form opens empty for a signed in resident. MyInfo data is the only source of age and nationality for the fee and grant checks. An empty form stops the learner or leads to typed values, and no staff help.</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DEF-032</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8.2.13</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 to 1</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 to 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TC-SCN-064-01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17</w:t>
            </w:r>
          </w:p>
        </w:tc>
        <w:tc>
          <w:tcPr>
            <w:tcW w:type="dxa" w:w="47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Computed fee at registration ignores the SSG grant for an eligible applicant. The fee computed at registration is the amount the learner accepts without staff review. Ignoring the grant is a wrong amount charged.</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DEF-034</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8.2.16</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 to 2</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Medium to 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Regression Core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TC-SCN-067-01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19</w:t>
            </w:r>
          </w:p>
        </w:tc>
        <w:tc>
          <w:tcPr>
            <w:tcW w:type="dxa" w:w="47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SME declaration is not saved with the application. Without staff, the SME declaration is the only record that the SME verification of 8.3.12 can read.</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DEF-036</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8.2.18</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 to 1</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 to 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TC-SCN-069-01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18</w:t>
            </w:r>
          </w:p>
        </w:tc>
        <w:tc>
          <w:tcPr>
            <w:tcW w:type="dxa" w:w="47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SFC balance shown is not refreshed after a previous use. The learner applies the SFC amount without staff review. A stale balance lets the learner use credit that is not there.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DEF-037</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8.2.19</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 to 1</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High to 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TC-SCN-070-02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17</w:t>
            </w:r>
          </w:p>
        </w:tc>
        <w:tc>
          <w:tcPr>
            <w:tcW w:type="dxa" w:w="47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Net fee in the overview differs from the net fee on the invoice. The overview is the fee the learner agrees to. A different amount on the invoice breaks that agreement and is a money error.</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DEF-041</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8.5.3</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 to 2</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Medium to 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Regression Core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TC-SCN-091-02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15</w:t>
            </w:r>
          </w:p>
        </w:tc>
        <w:tc>
          <w:tcPr>
            <w:tcW w:type="dxa" w:w="47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No notification is sent when a seat is freed for a waitlisted applicant. The notice is the only way a self-enrolling learner learns that a seat is free. Without staff to call, seats stay empty.</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DEF-042</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8.5.5</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 to 1</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 to 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TC-SCN-093-01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7</w:t>
            </w:r>
          </w:p>
        </w:tc>
        <w:tc>
          <w:tcPr>
            <w:tcW w:type="dxa" w:w="47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Learner outside the age limit is enrolled. Without staff review, the age restriction is enforced only by the System. A miss enrols an unqualified learner, which is a compliance break.</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DEF-045</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8.6.1</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 Blacklist check</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 to 1</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High to 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TC-SCN-105-02</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7</w:t>
            </w:r>
          </w:p>
        </w:tc>
        <w:tc>
          <w:tcPr>
            <w:tcW w:type="dxa" w:w="47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Registration from a blacklisted organisation is accepted without a flag. The flag has no reader when no staff handle the registration, so the blacklisted organisation is enrolled.</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DEF-065</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12.2.1</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 to 1</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High to 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TC-SCN-148-01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19</w:t>
            </w:r>
          </w:p>
        </w:tc>
        <w:tc>
          <w:tcPr>
            <w:tcW w:type="dxa" w:w="47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Alumni credit balance is not reduced after the credit is used. A balance that is not reduced lets the learner reuse the credit on each self-enrolment, with no staff check.</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DEF-067</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18.1.2</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 to 1</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Critical to Critical</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Smoke</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TC-SCN-152-01</w:t>
            </w:r>
          </w:p>
        </w:tc>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19</w:t>
            </w:r>
          </w:p>
        </w:tc>
        <w:tc>
          <w:tcPr>
            <w:tcW w:type="dxa" w:w="47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 Grant is taken from a fixed value when the Grant Calculator is down. A fixed grant value is applied to every self-enrolling learner without warning. A wrong grant is money and funding.</w:t>
            </w:r>
          </w:p>
        </w:tc>
      </w:tr>
    </w:tbl>
    <w:p>
      <w:pPr>
        <w:spacing w:after="200" w:before="0"/>
      </w:pPr>
    </w:p>
    <w:p>
      <w:pPr>
        <w:pStyle w:val="Heading1"/>
        <w:keepNext/>
        <w:spacing w:after="140" w:before="280"/>
      </w:pPr>
      <w:r>
        <w:rPr>
          <w:rFonts w:ascii="Times New Roman" w:cs="Times New Roman" w:eastAsia="Times New Roman" w:hAnsi="Times New Roman"/>
          <w:b/>
          <w:bCs/>
          <w:sz w:val="28"/>
          <w:szCs w:val="28"/>
        </w:rPr>
        <w:t xml:space="preserve">Appendix C. Possible Clauses</w:t>
      </w:r>
    </w:p>
    <w:p>
      <w:pPr>
        <w:keepNext/>
        <w:spacing w:after="120" w:before="0" w:line="276"/>
        <w:jc w:val="both"/>
      </w:pPr>
      <w:r>
        <w:rPr>
          <w:rFonts w:ascii="Times New Roman" w:cs="Times New Roman" w:eastAsia="Times New Roman" w:hAnsi="Times New Roman"/>
          <w:sz w:val="22"/>
          <w:szCs w:val="22"/>
        </w:rPr>
        <w:t xml:space="preserve">The 30 clauses that are not on a step of the flow but share data, a rule or a trigger with a Direct clause. Their test cases are in Table 2 of the sheet Regression TestCases with the Impact Possible. The Direct clauses are listed in the Impact Report.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800"/>
        <w:gridCol w:w="2700"/>
        <w:gridCol w:w="900"/>
        <w:gridCol w:w="8170"/>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Clause</w:t>
            </w:r>
          </w:p>
        </w:tc>
        <w:tc>
          <w:tcPr>
            <w:tcW w:type="dxa" w:w="1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Module</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7"/>
                <w:szCs w:val="17"/>
              </w:rPr>
              <w:t xml:space="preserve">Sprint</w:t>
            </w:r>
          </w:p>
        </w:tc>
        <w:tc>
          <w:tcPr>
            <w:tcW w:type="dxa" w:w="2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Nearest flow step</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7"/>
                <w:szCs w:val="17"/>
              </w:rPr>
              <w:t xml:space="preserve">Test cases</w:t>
            </w:r>
          </w:p>
        </w:tc>
        <w:tc>
          <w:tcPr>
            <w:tcW w:type="dxa" w:w="817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Why the clause may be affected</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Credential login with OTP is the other way into the same self-enrol session as 2.2, so a change in session or account handling can break it</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Self-enrol sends every new applicant through account creation first, and the account created here feeds all later steps</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PDPA and Terms consent is the only consent record when no staff handle the application, and it is read at submit</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8.2.6</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saved application is the way a self-enrolling learner returns to an unfinished form, and it depends on the same sign in session as 2.2</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Structured fields filled from MyInfo are read by later steps, so a change in them changes the inputs of the fee and grant</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8.3.2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 company sponsored learner signs in with the corporate account, and the same session feeds the company details and the funding path</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Form validation protects the date of birth, nationality and contact data that the prerequisite and grant checks read</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8.4.1</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 course with shortlisting must not be confirmed automatically by 8.5.1 before the pre-assessment is done</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6.1.5</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credit bearing or non credit bearing route decides whether SSG funding is offered</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8.2.8</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Registration at course or programme level decides which fee profile and grant apply</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8.2.17</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alumni credit shown to the applicant is the balance that 12.2.3 and 8.2.19 use for the net fee</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8.3.3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UEN check feeds the SME declaration 8.2.16 and the ETSS rule 18.2.4</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8.3.10</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same UEN check on the corporate form feeds the SME verification 8.3.12 and the ETSS rule 18.2.4</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12.1.1</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Alumni status selects the alumni fee and credit of 6.3.6</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12.2.1</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alumni credit balance is read and reduced in the fee calculation of 6.4.3 and 12.2.3</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18.1.1</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It is the parent integration of 18.1.2, so a change in the SSG and TPGateway connection affects the grant, SFC and enrolment calls together</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Batch registration by import competes with self-enrolment for the same seats and waitlist</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8.1.14</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outcome message is the only contact with a learner who has no staff contact</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Auto registration into bite sized courses uses the same seat confirmation as 8.5.1</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8.5.6</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Ad hoc enrolment by the Course Administrator takes seats from the same capacity as self-enrolment</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8.5.16</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Every confirmed seat is sent to TPGateway automatically, so each self-enrolment creates a record at SSG</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8.5.9</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 learner who withdraws or reschedules after self-enrolment triggers a fee change and a credit note as 6.3.3 and 9.1.15 describe</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8.5.10</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 deferral after self-enrolment triggers the same fee change and credit note path</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8.8.1</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 transfer to another session after self-enrolment produces a fee adjustment report for FIN</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9.1.3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4</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invoice lines, including the alumni course credit line, come from the net fee of the self-enrolment</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11.5.3</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billing items of the invoice are mapped to account and funding codes after the net fee is computed</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6.5.1</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assessment pattern, such as pass or fail, defines what passing the assessment means for 6.4.4</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10.1.1</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Attendance marked here is read by 10.1.3 for the 75 percent rule of the funding</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10.1.2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SingPass e-attendance is counted in the attendance rate that decides the funding in 6.4.4</w:t>
            </w:r>
          </w:p>
        </w:tc>
      </w:tr>
      <w:tr>
        <w:trPr>
          <w:cantSplit/>
          <w:tblHeader w:val="false"/>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10.2.12</w:t>
            </w:r>
          </w:p>
        </w:tc>
        <w:tc>
          <w:tcPr>
            <w:tcW w:type="dxa" w:w="12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817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status Completed without released marks is read by the funding decision of 6.4.4</w:t>
            </w:r>
          </w:p>
        </w:tc>
      </w:tr>
    </w:tbl>
    <w:p>
      <w:pPr>
        <w:spacing w:after="200" w:before="0"/>
      </w:pPr>
    </w:p>
    <w:p>
      <w:pPr>
        <w:pStyle w:val="Heading1"/>
        <w:keepNext/>
        <w:spacing w:after="140" w:before="280"/>
      </w:pPr>
      <w:r>
        <w:rPr>
          <w:rFonts w:ascii="Times New Roman" w:cs="Times New Roman" w:eastAsia="Times New Roman" w:hAnsi="Times New Roman"/>
          <w:b/>
          <w:bCs/>
          <w:sz w:val="28"/>
          <w:szCs w:val="28"/>
        </w:rPr>
        <w:t xml:space="preserve">Appendix D. Smoke Test Cases</w:t>
      </w:r>
    </w:p>
    <w:p>
      <w:pPr>
        <w:keepNext/>
        <w:spacing w:after="120" w:before="0" w:line="276"/>
        <w:jc w:val="both"/>
      </w:pPr>
      <w:r>
        <w:rPr>
          <w:rFonts w:ascii="Times New Roman" w:cs="Times New Roman" w:eastAsia="Times New Roman" w:hAnsi="Times New Roman"/>
          <w:sz w:val="22"/>
          <w:szCs w:val="22"/>
        </w:rPr>
        <w:t xml:space="preserve">The 64 Severity 1 test cases of the new and Direct parts that run first on every build. Status is Approve when the expected result comes from the clause and Draft when it needs an assumption.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50"/>
        <w:gridCol w:w="2500"/>
        <w:gridCol w:w="1100"/>
        <w:gridCol w:w="900"/>
        <w:gridCol w:w="900"/>
        <w:gridCol w:w="562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Test case</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Module</w:t>
            </w:r>
          </w:p>
        </w:tc>
        <w:tc>
          <w:tcPr>
            <w:tcW w:type="dxa" w:w="75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Clause</w:t>
            </w:r>
          </w:p>
        </w:tc>
        <w:tc>
          <w:tcPr>
            <w:tcW w:type="dxa" w:w="2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Flow step</w:t>
            </w:r>
          </w:p>
        </w:tc>
        <w:tc>
          <w:tcPr>
            <w:tcW w:type="dxa" w:w="1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b/>
                <w:bCs/>
                <w:sz w:val="17"/>
                <w:szCs w:val="17"/>
              </w:rPr>
              <w:t xml:space="preserve">Sprint</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Status</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Impact</w:t>
            </w:r>
          </w:p>
        </w:tc>
        <w:tc>
          <w:tcPr>
            <w:tcW w:type="dxa" w:w="562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b/>
                <w:bCs/>
                <w:sz w:val="17"/>
                <w:szCs w:val="17"/>
              </w:rPr>
              <w:t xml:space="preserve">Title</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TC-SCN-R01-01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Resident self-enrols in an SSG funded course and receives a seat and the net fee invoice</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TC-SCN-R01-02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8.2.9</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Company sponsored learner self-enrols and the sponsor is invoiced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TC-SCN-R02-01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8.2.5</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Fee band follows the MyInfo values of the current sign in</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TC-SCN-R02-02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8.6.2</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 Blacklist check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Synced blacklist record blocks the next self-enrolment</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TC-SCN-R02-04</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8.5.1</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Seat is not confirmed when the prerequisite check fails</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TC-SCN-R03-01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8.5.1</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last seat goes to one of two simultaneous applications</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TC-SCN-R03-03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8.5.16</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 is sent to TPGateway only after the seat is confirmed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TC-SCN-R03-04</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8.1.10</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Seats count down by one for each self-enrolment and stop at the maximum</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TC-SCN-R04-01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Promotion from the waitlist keeps the grant in the net fee</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TC-SCN-R05-01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The net fee is never below zero when all deductions apply</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TC-SCN-R05-04</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11.1.2</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SFC is returned when the application is not confirmed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TC-SCN-R06-01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6.3.3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Approved withdrawal reverses fee, credit note and grant</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TC-SCN-R07-01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6.4.4</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Status Completed without marks is not read as a pass</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TC-SCN-R07-03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6.4.4</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New</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Learner at exactly 75 percent attendance who passes is funded once</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TC-SCN-001-01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2.2</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 Login and MyInfo</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Approve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Resident signs in through SingPass</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TC-SCN-065-01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8.2.14</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 Blacklist check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Applicant on the SSG blacklist is flagged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TC-SCN-065-02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8.2.14</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 Blacklist check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Applicant on the School blacklist is flagged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TC-SCN-105-01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8.6.1</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 Blacklist check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Individual on the blacklist is screened at registration</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TC-SCN-105-02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8.6.1</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2 Blacklist check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Organisation on the blacklist is screened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TC-SCN-072-01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8.2.20</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Learner without the prerequisite fails with a reason</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TC-SCN-093-01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8.5.5</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Age restriction stops an enrolment</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TC-SCN-093-04</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8.5.5</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Capacity restriction stops an enrolment</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TC-SCN-019-01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6.4.7</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3 Prerequisite and restriction check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Unscheduled</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Approve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Second application for the same SSG funded course is detected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TC-SCN-008-05</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6.3.3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Fee change is not applied before it is approved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TC-SCN-011-01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6.3.6</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1,2,3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Nationality changes the fee payable</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TC-SCN-012-05</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6.3.7</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Preparer cannot approve the own setup</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TC-SCN-015-01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Alumni Course Credit is deducted before the SSG grant and subsidy</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TC-SCN-015-02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Grant and subsidy are applied automatically</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TC-SCN-015-05</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 learner who is not eligible gets no grant</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TC-SCN-021-04</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6.4.9</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Grant is tagged to the version valid on the course start date</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TC-SCN-064-01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Eligible applicant gets the grant in the computed fee</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TC-SCN-064-02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Ineligible applicant gets the full fee</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TC-SCN-069-01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8.2.18</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Approve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Applicant sees the available SFC</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TC-SCN-070-01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8.2.19</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Overview shows fee, SFC, SSG grant and alumni credit</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TC-SCN-070-02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8.2.19</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Overview net fee equals the invoice net fee</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TC-SCN-150-01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12.2.3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Credit up to the cap of 50 percent is applied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TC-SCN-150-02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12.2.3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Credit above the cap is limited to the cap</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TC-SCN-152-01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18.1.2</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4 Grant eligibility and fee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1,2,3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Grant Calculator integration returns the grant</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TC-SCN-047-01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8.1.10</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Registration at the maximum is accepted and the next one is not confirmed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TC-SCN-048-01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8.1.11</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Learners over the maximum are waitlisted in order of application</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TC-SCN-089-01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8.5.1</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Application is confirmed automatically while seats remain</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TC-SCN-089-02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8.5.1</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Application is not confirmed when no seat remains</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TC-SCN-091-01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Approve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Applicant goes to the waitlist when the class is full</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TC-SCN-095-01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Enrolment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8.5.7</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5 Seat confirm or waitlist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Approve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Registration closes when the waitlist is full</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TC-SCN-007-01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6.3.2</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Fee and GST are calculated on a course fee of 1000</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TC-SCN-018-03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6.4.6</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Refund is paid only after the approval</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TC-SCN-023-02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6.4.11</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1,2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Two sponsors are billed by the pre configured allocation</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TC-SCN-045-02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8.1.8</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Approve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Withdrawn application triggers a credit note</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TC-SCN-110-03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9.1.1</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Invoice shows the item level details</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TC-SCN-112-01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9.1.4</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Nett course fee is generated from the SFC approved amount</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TC-SCN-114-01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9.1.12</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Breakdown shows fee, funding, other discounts and remarks</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TC-SCN-115-01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9.1.13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GST is charged on a fee type and not on a grant</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TC-SCN-116-03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9.1.15</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Change of sponsor issues a new invoice and a credit note to the old sponsor</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TC-SCN-117-05</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9.4.1</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SFC payment is credited automatically to the correct School</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TC-SCN-117-06</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9.4.1</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 Net fee and invoice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PSEA payment is credited automatically to the correct School</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TC-SCN-025-01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6.5.2</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Mark converts into the configured grade and grade point</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TC-SCN-025-02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6.5.2</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Overall result follows the assessment weightings</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TC-SCN-120-01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10.1.3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Attendance rate equals attended over held sessions</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TC-SCN-121-01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10.1.4</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Learner at 74 percent is flagged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TC-SCN-121-02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10.1.4</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Learner at 75 percent is not flagged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TC-SCN-132-01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Assessment</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10.2.9</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3</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Final assessment result is sent to TPGateway automatically</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TC-SCN-016-01</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6.4.4</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Draft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Learner with 75 percent attendance and a pass is funded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TC-SCN-016-02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6.4.4</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Approve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Learner with 74 percent attendance and a pass is not funded</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TC-SCN-016-03</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Funding</w:t>
            </w:r>
          </w:p>
        </w:tc>
        <w:tc>
          <w:tcPr>
            <w:tcW w:type="dxa" w:w="75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6.4.4</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7 Outcome based funding</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center"/>
            </w:pPr>
            <w:r>
              <w:rPr>
                <w:rFonts w:ascii="Times New Roman" w:cs="Times New Roman" w:eastAsia="Times New Roman" w:hAnsi="Times New Roman"/>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Approve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Direct</w:t>
            </w:r>
          </w:p>
        </w:tc>
        <w:tc>
          <w:tcPr>
            <w:tcW w:type="dxa" w:w="5620"/>
            <w:tcBorders>
              <w:top w:val="single" w:color="8C8C8C" w:sz="4"/>
              <w:left w:val="single" w:color="8C8C8C" w:sz="4"/>
              <w:bottom w:val="single" w:color="8C8C8C" w:sz="4"/>
              <w:right w:val="single" w:color="8C8C8C" w:sz="4"/>
            </w:tcBorders>
            <w:tcMar>
              <w:top w:type="dxa" w:w="50"/>
              <w:left w:type="dxa" w:w="90"/>
              <w:bottom w:type="dxa" w:w="50"/>
              <w:right w:type="dxa" w:w="90"/>
            </w:tcMar>
          </w:tcPr>
          <w:p>
            <w:pPr>
              <w:keepNext w:val="false"/>
              <w:spacing w:after="0" w:before="0" w:line="252"/>
              <w:jc w:val="left"/>
            </w:pPr>
            <w:r>
              <w:rPr>
                <w:rFonts w:ascii="Times New Roman" w:cs="Times New Roman" w:eastAsia="Times New Roman" w:hAnsi="Times New Roman"/>
                <w:sz w:val="17"/>
                <w:szCs w:val="17"/>
              </w:rPr>
              <w:t xml:space="preserve">Learner with 100 percent attendance and a fail is not funded</w:t>
            </w:r>
          </w:p>
        </w:tc>
      </w:tr>
    </w:tbl>
    <w:sectPr>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Times New Roman" w:cs="Times New Roman" w:eastAsia="Times New Roman" w:hAnsi="Times New Roman"/>
        <w:sz w:val="18"/>
        <w:szCs w:val="18"/>
      </w:rPr>
      <w:t xml:space="preserve">Regression Plan: Self-Enrol + Funding</w:t>
    </w:r>
    <w:r>
      <w:rPr>
        <w:rFonts w:ascii="Times New Roman" w:cs="Times New Roman" w:eastAsia="Times New Roman" w:hAnsi="Times New Roman"/>
        <w:sz w:val="18"/>
        <w:szCs w:val="18"/>
      </w:rPr>
      <w:t xml:space="preserve">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570"/>
      </w:tabs>
    </w:pPr>
    <w:r>
      <w:rPr>
        <w:rFonts w:ascii="Times New Roman" w:cs="Times New Roman" w:eastAsia="Times New Roman" w:hAnsi="Times New Roman"/>
        <w:sz w:val="18"/>
        <w:szCs w:val="18"/>
      </w:rPr>
      <w:t xml:space="preserve">Regression Plan: Self-Enrol + Funding</w:t>
    </w:r>
    <w:r>
      <w:rPr>
        <w:rFonts w:ascii="Times New Roman" w:cs="Times New Roman" w:eastAsia="Times New Roman" w:hAnsi="Times New Roman"/>
        <w:sz w:val="18"/>
        <w:szCs w:val="18"/>
      </w:rPr>
      <w:t xml:space="preserve">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Regression Plan: Self-Enrol + Funding</dc:title>
  <dc:creator>Cuong</dc:creator>
  <cp:lastModifiedBy>Un-named</cp:lastModifiedBy>
  <cp:revision>1</cp:revision>
  <dcterms:created xsi:type="dcterms:W3CDTF">2026-10-07T16:54:55.967Z</dcterms:created>
  <dcterms:modified xsi:type="dcterms:W3CDTF">2026-10-07T16:54:55.967Z</dcterms:modified>
</cp:coreProperties>
</file>

<file path=docProps/custom.xml><?xml version="1.0" encoding="utf-8"?>
<Properties xmlns="http://schemas.openxmlformats.org/officeDocument/2006/custom-properties" xmlns:vt="http://schemas.openxmlformats.org/officeDocument/2006/docPropsVTypes"/>
</file>