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Finance System for MOE: Test Strategy</w:t>
      </w:r>
    </w:p>
    <w:p>
      <w:pPr>
        <w:spacing w:after="120"/>
        <w:jc w:val="both"/>
      </w:pPr>
      <w:r>
        <w:rPr>
          <w:rFonts w:ascii="Times New Roman" w:cs="Times New Roman" w:eastAsia="Times New Roman" w:hAnsi="Times New Roman"/>
          <w:b w:val="false"/>
          <w:bCs w:val="false"/>
          <w:sz w:val="24"/>
          <w:szCs w:val="24"/>
        </w:rPr>
        <w:t xml:space="preserve">Document ID: TS-MOE-FINANCE-001</w:t>
      </w:r>
    </w:p>
    <w:p>
      <w:pPr>
        <w:spacing w:after="120"/>
        <w:jc w:val="both"/>
      </w:pPr>
      <w:r>
        <w:rPr>
          <w:rFonts w:ascii="Times New Roman" w:cs="Times New Roman" w:eastAsia="Times New Roman" w:hAnsi="Times New Roman"/>
          <w:b w:val="false"/>
          <w:bCs w:val="false"/>
          <w:sz w:val="24"/>
          <w:szCs w:val="24"/>
        </w:rPr>
        <w:t xml:space="preserve">Project-level, strategic document, states the testing principles and approach for the whole engagement. roles/qalead/test-plan.docx operationalizes these principles into the concrete 3-sprint schedule, RACI with headcount, and entry/exit dates, this document does not repeat those specifics, only the standards they must follow.</w:t>
      </w:r>
    </w:p>
    <w:p>
      <w:pPr>
        <w:pStyle w:val="Heading2"/>
      </w:pPr>
      <w:r>
        <w:rPr>
          <w:rFonts w:ascii="Times New Roman" w:cs="Times New Roman" w:eastAsia="Times New Roman" w:hAnsi="Times New Roman"/>
          <w:b/>
          <w:bCs/>
          <w:sz w:val="26"/>
          <w:szCs w:val="26"/>
        </w:rPr>
        <w:t xml:space="preserve">1. Purpose and Quality Objectives</w:t>
      </w:r>
    </w:p>
    <w:p>
      <w:pPr>
        <w:spacing w:after="120"/>
        <w:jc w:val="both"/>
      </w:pPr>
      <w:r>
        <w:rPr>
          <w:rFonts w:ascii="Times New Roman" w:cs="Times New Roman" w:eastAsia="Times New Roman" w:hAnsi="Times New Roman"/>
          <w:b w:val="false"/>
          <w:bCs w:val="false"/>
          <w:sz w:val="24"/>
          <w:szCs w:val="24"/>
        </w:rPr>
        <w:t xml:space="preserve">Define how quality is assured across Track A (Admin Portal) and Track B (eService Portal) so both tracks test to the same standard despite running in parallel with separate QA sub-teams.</w:t>
      </w:r>
    </w:p>
    <w:p>
      <w:pPr>
        <w:spacing w:after="120"/>
        <w:jc w:val="both"/>
      </w:pPr>
      <w:r>
        <w:rPr>
          <w:rFonts w:ascii="Times New Roman" w:cs="Times New Roman" w:eastAsia="Times New Roman" w:hAnsi="Times New Roman"/>
          <w:b w:val="false"/>
          <w:bCs w:val="false"/>
          <w:sz w:val="24"/>
          <w:szCs w:val="24"/>
        </w:rPr>
        <w:t xml:space="preserve">Quality objectives for this engagement:</w:t>
      </w:r>
    </w:p>
    <w:p>
      <w:pPr>
        <w:pStyle w:val="ListParagraph"/>
        <w:numPr>
          <w:ilvl w:val="0"/>
          <w:numId w:val="2"/>
        </w:numPr>
        <w:spacing w:after="80"/>
        <w:jc w:val="both"/>
      </w:pPr>
      <w:r>
        <w:rPr>
          <w:rFonts w:ascii="Times New Roman" w:cs="Times New Roman" w:eastAsia="Times New Roman" w:hAnsi="Times New Roman"/>
          <w:b w:val="false"/>
          <w:bCs w:val="false"/>
          <w:sz w:val="24"/>
          <w:szCs w:val="24"/>
        </w:rPr>
        <w:t xml:space="preserve">Every tender item (and later FSD acceptance criterion) has verifiable test coverage with full traceability.</w:t>
      </w:r>
    </w:p>
    <w:p>
      <w:pPr>
        <w:pStyle w:val="ListParagraph"/>
        <w:numPr>
          <w:ilvl w:val="0"/>
          <w:numId w:val="2"/>
        </w:numPr>
        <w:spacing w:after="80"/>
        <w:jc w:val="both"/>
      </w:pPr>
      <w:r>
        <w:rPr>
          <w:rFonts w:ascii="Times New Roman" w:cs="Times New Roman" w:eastAsia="Times New Roman" w:hAnsi="Times New Roman"/>
          <w:b w:val="false"/>
          <w:bCs w:val="false"/>
          <w:sz w:val="24"/>
          <w:szCs w:val="24"/>
        </w:rPr>
        <w:t xml:space="preserve">No Critical/High-severity defect reaches release exit.</w:t>
      </w:r>
    </w:p>
    <w:p>
      <w:pPr>
        <w:pStyle w:val="ListParagraph"/>
        <w:numPr>
          <w:ilvl w:val="0"/>
          <w:numId w:val="2"/>
        </w:numPr>
        <w:spacing w:after="80"/>
        <w:jc w:val="both"/>
      </w:pPr>
      <w:r>
        <w:rPr>
          <w:rFonts w:ascii="Times New Roman" w:cs="Times New Roman" w:eastAsia="Times New Roman" w:hAnsi="Times New Roman"/>
          <w:b w:val="false"/>
          <w:bCs w:val="false"/>
          <w:sz w:val="24"/>
          <w:szCs w:val="24"/>
        </w:rPr>
        <w:t xml:space="preserve">The AI/ML-assisted features (FAS risk tier, eService chatbot, FAS auto-fill) never become the sole safety net, each has a rule-based or human-reviewable fallback that is tested independently of the AI layer.</w:t>
      </w:r>
    </w:p>
    <w:p>
      <w:pPr>
        <w:pStyle w:val="ListParagraph"/>
        <w:numPr>
          <w:ilvl w:val="0"/>
          <w:numId w:val="2"/>
        </w:numPr>
        <w:spacing w:after="80"/>
        <w:jc w:val="both"/>
      </w:pPr>
      <w:r>
        <w:rPr>
          <w:rFonts w:ascii="Times New Roman" w:cs="Times New Roman" w:eastAsia="Times New Roman" w:hAnsi="Times New Roman"/>
          <w:b w:val="false"/>
          <w:bCs w:val="false"/>
          <w:sz w:val="24"/>
          <w:szCs w:val="24"/>
        </w:rPr>
        <w:t xml:space="preserve">Mock-based parallel development (Track B in Sprint 1-2) does not silently diverge from the real system, contract conformance is a tested property, not an assumption.</w:t>
      </w:r>
    </w:p>
    <w:p>
      <w:pPr>
        <w:pStyle w:val="Heading2"/>
      </w:pPr>
      <w:r>
        <w:rPr>
          <w:rFonts w:ascii="Times New Roman" w:cs="Times New Roman" w:eastAsia="Times New Roman" w:hAnsi="Times New Roman"/>
          <w:b/>
          <w:bCs/>
          <w:sz w:val="26"/>
          <w:szCs w:val="26"/>
        </w:rPr>
        <w:t xml:space="preserve">2. Test Levels and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9"/>
        <w:gridCol w:w="7288"/>
      </w:tblGrid>
      <w:tr>
        <w:trPr>
          <w:cantSplit/>
          <w:tblHeader/>
        </w:trPr>
        <w:tc>
          <w:tcPr>
            <w:tcW w:type="dxa" w:w="104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Level</w:t>
            </w:r>
          </w:p>
        </w:tc>
        <w:tc>
          <w:tcPr>
            <w:tcW w:type="dxa" w:w="130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Owner</w:t>
            </w:r>
          </w:p>
        </w:tc>
        <w:tc>
          <w:tcPr>
            <w:tcW w:type="dxa" w:w="72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Scope</w:t>
            </w:r>
          </w:p>
        </w:tc>
      </w:tr>
      <w:tr>
        <w:trPr>
          <w:cantSplit/>
          <w:tblHeader w:val="false"/>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Unit</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w:t>
            </w:r>
          </w:p>
        </w:tc>
        <w:tc>
          <w:tcPr>
            <w:tcW w:type="dxa" w:w="7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in QA scope; no QA coverage target set</w:t>
            </w:r>
          </w:p>
        </w:tc>
      </w:tr>
      <w:tr>
        <w:trPr>
          <w:cantSplit/>
          <w:tblHeader w:val="false"/>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Smoke</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w:t>
            </w:r>
          </w:p>
        </w:tc>
        <w:tc>
          <w:tcPr>
            <w:tcW w:type="dxa" w:w="7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Confirms a new build is stable enough to start functional testing</w:t>
            </w:r>
          </w:p>
        </w:tc>
      </w:tr>
      <w:tr>
        <w:trPr>
          <w:cantSplit/>
          <w:tblHeader w:val="false"/>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Integration</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w:t>
            </w:r>
          </w:p>
        </w:tc>
        <w:tc>
          <w:tcPr>
            <w:tcW w:type="dxa" w:w="7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Track A/Track B API contract conformance; most important where Track B is still mock-based</w:t>
            </w:r>
          </w:p>
        </w:tc>
      </w:tr>
      <w:tr>
        <w:trPr>
          <w:cantSplit/>
          <w:tblHeader w:val="false"/>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Functional / Acceptance</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w:t>
            </w:r>
          </w:p>
        </w:tc>
        <w:tc>
          <w:tcPr>
            <w:tcW w:type="dxa" w:w="7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Primary activity, black-box verification per tender item / FSD criterion</w:t>
            </w:r>
          </w:p>
        </w:tc>
      </w:tr>
      <w:tr>
        <w:trPr>
          <w:cantSplit/>
          <w:tblHeader w:val="false"/>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System / End-to-end</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(both tracks jointly)</w:t>
            </w:r>
          </w:p>
        </w:tc>
        <w:tc>
          <w:tcPr>
            <w:tcW w:type="dxa" w:w="7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Cross-track flows: e.g. account created in Admin (#1) correctly visible in eService (#8); FAS decision in Admin (#4) correctly reflected in eService fee payable (#9, #10)</w:t>
            </w:r>
          </w:p>
        </w:tc>
      </w:tr>
      <w:tr>
        <w:trPr>
          <w:cantSplit/>
          <w:tblHeader w:val="false"/>
        </w:trPr>
        <w:tc>
          <w:tcPr>
            <w:tcW w:type="dxa" w:w="10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UAT</w:t>
            </w:r>
          </w:p>
        </w:tc>
        <w:tc>
          <w:tcPr>
            <w:tcW w:type="dxa" w:w="1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TBD, not defined in tender/kickoff, raise with PM</w:t>
            </w:r>
          </w:p>
        </w:tc>
        <w:tc>
          <w:tcPr>
            <w:tcW w:type="dxa" w:w="72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Whether a separate customer UAT phase exists after Sprint 3</w:t>
            </w:r>
          </w:p>
        </w:tc>
      </w:tr>
    </w:tbl>
    <w:p>
      <w:pPr>
        <w:spacing w:after="120"/>
      </w:pPr>
    </w:p>
    <w:p>
      <w:pPr>
        <w:pStyle w:val="Heading2"/>
      </w:pPr>
      <w:r>
        <w:rPr>
          <w:rFonts w:ascii="Times New Roman" w:cs="Times New Roman" w:eastAsia="Times New Roman" w:hAnsi="Times New Roman"/>
          <w:b/>
          <w:bCs/>
          <w:sz w:val="26"/>
          <w:szCs w:val="26"/>
        </w:rPr>
        <w:t xml:space="preserve">3. Testing Types</w:t>
      </w:r>
    </w:p>
    <w:p>
      <w:pPr>
        <w:pStyle w:val="ListParagraph"/>
        <w:numPr>
          <w:ilvl w:val="0"/>
          <w:numId w:val="3"/>
        </w:numPr>
        <w:spacing w:after="80"/>
        <w:jc w:val="both"/>
      </w:pPr>
      <w:r>
        <w:rPr>
          <w:rFonts w:ascii="Times New Roman" w:cs="Times New Roman" w:eastAsia="Times New Roman" w:hAnsi="Times New Roman"/>
          <w:b/>
          <w:bCs/>
          <w:sz w:val="24"/>
          <w:szCs w:val="24"/>
        </w:rPr>
        <w:t xml:space="preserve">Functional</w:t>
      </w:r>
      <w:r>
        <w:rPr>
          <w:rFonts w:ascii="Times New Roman" w:cs="Times New Roman" w:eastAsia="Times New Roman" w:hAnsi="Times New Roman"/>
          <w:b w:val="false"/>
          <w:bCs w:val="false"/>
          <w:sz w:val="24"/>
          <w:szCs w:val="24"/>
        </w:rPr>
        <w:t xml:space="preserve">: covered per item via EP, BVA, Decision Tables, State Transition (see roles/qalead/test-plan.docx §2.2 for the technique-selection guideline, shared by both tracks).</w:t>
      </w:r>
    </w:p>
    <w:p>
      <w:pPr>
        <w:pStyle w:val="ListParagraph"/>
        <w:numPr>
          <w:ilvl w:val="0"/>
          <w:numId w:val="3"/>
        </w:numPr>
        <w:spacing w:after="8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b w:val="false"/>
          <w:bCs w:val="false"/>
          <w:sz w:val="24"/>
          <w:szCs w:val="24"/>
        </w:rPr>
        <w:t xml:space="preserve">: not deferred to "if time permits". FAS (#4) carries household income and nationality; #7 lets HQ view/act as another user; #8/#9 carry SingPass login and payment. Minimum bar: access control per role (HQ/School/Parent cannot see or act beyond their own scope), audit logging on #7 regardless of view-only vs act-on-behalf outcome, and no PII in logs or error messages.</w:t>
      </w:r>
    </w:p>
    <w:p>
      <w:pPr>
        <w:pStyle w:val="ListParagraph"/>
        <w:numPr>
          <w:ilvl w:val="0"/>
          <w:numId w:val="3"/>
        </w:numPr>
        <w:spacing w:after="80"/>
        <w:jc w:val="both"/>
      </w:pPr>
      <w:r>
        <w:rPr>
          <w:rFonts w:ascii="Times New Roman" w:cs="Times New Roman" w:eastAsia="Times New Roman" w:hAnsi="Times New Roman"/>
          <w:b/>
          <w:bCs/>
          <w:sz w:val="24"/>
          <w:szCs w:val="24"/>
        </w:rPr>
        <w:t xml:space="preserve">Data protection</w:t>
      </w:r>
      <w:r>
        <w:rPr>
          <w:rFonts w:ascii="Times New Roman" w:cs="Times New Roman" w:eastAsia="Times New Roman" w:hAnsi="Times New Roman"/>
          <w:b w:val="false"/>
          <w:bCs w:val="false"/>
          <w:sz w:val="24"/>
          <w:szCs w:val="24"/>
        </w:rPr>
        <w:t xml:space="preserve">: treat citizenship, income, and nationality fields as sensitive by default. Test data must be synthetic; real citizen data is never used in any test environment. Flag to PM/customer whether a formal PDPA review is required (see roles/qalead/test-plan.docx §2.9), this strategy assumes "treat as sensitive" regardless of the answer.</w:t>
      </w:r>
    </w:p>
    <w:p>
      <w:pPr>
        <w:pStyle w:val="ListParagraph"/>
        <w:numPr>
          <w:ilvl w:val="0"/>
          <w:numId w:val="3"/>
        </w:numPr>
        <w:spacing w:after="80"/>
        <w:jc w:val="both"/>
      </w:pPr>
      <w:r>
        <w:rPr>
          <w:rFonts w:ascii="Times New Roman" w:cs="Times New Roman" w:eastAsia="Times New Roman" w:hAnsi="Times New Roman"/>
          <w:b/>
          <w:bCs/>
          <w:sz w:val="24"/>
          <w:szCs w:val="24"/>
        </w:rPr>
        <w:t xml:space="preserve">AI/ML feature validation</w:t>
      </w:r>
      <w:r>
        <w:rPr>
          <w:rFonts w:ascii="Times New Roman" w:cs="Times New Roman" w:eastAsia="Times New Roman" w:hAnsi="Times New Roman"/>
          <w:b w:val="false"/>
          <w:bCs w:val="false"/>
          <w:sz w:val="24"/>
          <w:szCs w:val="24"/>
        </w:rPr>
        <w:t xml:space="preserve">: see Section 6, a dedicated approach rather than folded into generic functional testing.</w:t>
      </w:r>
    </w:p>
    <w:p>
      <w:pPr>
        <w:pStyle w:val="ListParagraph"/>
        <w:numPr>
          <w:ilvl w:val="0"/>
          <w:numId w:val="3"/>
        </w:numPr>
        <w:spacing w:after="8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b w:val="false"/>
          <w:bCs w:val="false"/>
          <w:sz w:val="24"/>
          <w:szCs w:val="24"/>
        </w:rPr>
        <w:t xml:space="preserve">: out of scope for the 3-sprint cycle; batch top-up (#2) and MOE-wide FAS eligibility checks (#4) are flagged as candidates for a dedicated pass after release, not silently dropped.</w:t>
      </w:r>
    </w:p>
    <w:p>
      <w:pPr>
        <w:pStyle w:val="ListParagraph"/>
        <w:numPr>
          <w:ilvl w:val="0"/>
          <w:numId w:val="3"/>
        </w:numPr>
        <w:spacing w:after="8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b w:val="false"/>
          <w:bCs w:val="false"/>
          <w:sz w:val="24"/>
          <w:szCs w:val="24"/>
        </w:rPr>
        <w:t xml:space="preserve">: not explicitly requested in tender; limited to confirming the eService AI chatbot's follow-up-question flow doesn't trap a parent in a loop with no way to reach a human/manual path.</w:t>
      </w:r>
    </w:p>
    <w:p>
      <w:pPr>
        <w:pStyle w:val="Heading2"/>
      </w:pPr>
      <w:r>
        <w:rPr>
          <w:rFonts w:ascii="Times New Roman" w:cs="Times New Roman" w:eastAsia="Times New Roman" w:hAnsi="Times New Roman"/>
          <w:b/>
          <w:bCs/>
          <w:sz w:val="26"/>
          <w:szCs w:val="26"/>
        </w:rPr>
        <w:t xml:space="preserve">4. Risk-Based Test Prioritization</w:t>
      </w:r>
    </w:p>
    <w:p>
      <w:pPr>
        <w:spacing w:after="120"/>
        <w:jc w:val="both"/>
      </w:pPr>
      <w:r>
        <w:rPr>
          <w:rFonts w:ascii="Times New Roman" w:cs="Times New Roman" w:eastAsia="Times New Roman" w:hAnsi="Times New Roman"/>
          <w:b w:val="false"/>
          <w:bCs w:val="false"/>
          <w:sz w:val="24"/>
          <w:szCs w:val="24"/>
        </w:rPr>
        <w:t xml:space="preserve">Test effort is allocated by risk, not evenly across all 10 items. Priority drivers, cross-referenced to roles/pm/project-plan.md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70"/>
        <w:gridCol w:w="566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Priority</w:t>
            </w:r>
          </w:p>
        </w:tc>
        <w:tc>
          <w:tcPr>
            <w:tcW w:type="dxa" w:w="30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Items</w:t>
            </w:r>
          </w:p>
        </w:tc>
        <w:tc>
          <w:tcPr>
            <w:tcW w:type="dxa" w:w="566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Why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Highest</w:t>
            </w:r>
          </w:p>
        </w:tc>
        <w:tc>
          <w:tcPr>
            <w:tcW w:type="dxa" w:w="3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FAS engine (rule + AI risk tier)</w:t>
            </w:r>
          </w:p>
        </w:tc>
        <w:tc>
          <w:tcPr>
            <w:tcW w:type="dxa" w:w="56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Highest complexity (PM R1), financial correctness directly affects families, feeds #6 and #10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High</w:t>
            </w:r>
          </w:p>
        </w:tc>
        <w:tc>
          <w:tcPr>
            <w:tcW w:type="dxa" w:w="3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Education account, #3 master data</w:t>
            </w:r>
          </w:p>
        </w:tc>
        <w:tc>
          <w:tcPr>
            <w:tcW w:type="dxa" w:w="56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Foundational, every other item depends on correct account/fee data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High</w:t>
            </w:r>
          </w:p>
        </w:tc>
        <w:tc>
          <w:tcPr>
            <w:tcW w:type="dxa" w:w="3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Track B mock/real contract conformance (#8, #9, #10)</w:t>
            </w:r>
          </w:p>
        </w:tc>
        <w:tc>
          <w:tcPr>
            <w:tcW w:type="dxa" w:w="56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R5, late integration failure has the least buffer to fix in Sprint 3</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Medium</w:t>
            </w:r>
          </w:p>
        </w:tc>
        <w:tc>
          <w:tcPr>
            <w:tcW w:type="dxa" w:w="3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Top-up, #6 Budget tracking, #5 Hardcopy capture</w:t>
            </w:r>
          </w:p>
        </w:tc>
        <w:tc>
          <w:tcPr>
            <w:tcW w:type="dxa" w:w="56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Important but lower downstream dependency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Medium</w:t>
            </w:r>
          </w:p>
        </w:tc>
        <w:tc>
          <w:tcPr>
            <w:tcW w:type="dxa" w:w="3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 HQ simulation</w:t>
            </w:r>
          </w:p>
        </w:tc>
        <w:tc>
          <w:tcPr>
            <w:tcW w:type="dxa" w:w="56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Blocked on BA clarification (view-only vs act-on-behalf); test depth depends on that answer</w:t>
            </w:r>
          </w:p>
        </w:tc>
      </w:tr>
    </w:tbl>
    <w:p>
      <w:pPr>
        <w:spacing w:after="120"/>
      </w:pPr>
    </w:p>
    <w:p>
      <w:pPr>
        <w:pStyle w:val="Heading2"/>
      </w:pPr>
      <w:r>
        <w:rPr>
          <w:rFonts w:ascii="Times New Roman" w:cs="Times New Roman" w:eastAsia="Times New Roman" w:hAnsi="Times New Roman"/>
          <w:b/>
          <w:bCs/>
          <w:sz w:val="26"/>
          <w:szCs w:val="26"/>
        </w:rPr>
        <w:t xml:space="preserve">5. Test Design Standard</w:t>
      </w:r>
    </w:p>
    <w:p>
      <w:pPr>
        <w:spacing w:after="120"/>
        <w:jc w:val="both"/>
      </w:pPr>
      <w:r>
        <w:rPr>
          <w:rFonts w:ascii="Times New Roman" w:cs="Times New Roman" w:eastAsia="Times New Roman" w:hAnsi="Times New Roman"/>
          <w:b w:val="false"/>
          <w:bCs w:val="false"/>
          <w:sz w:val="24"/>
          <w:szCs w:val="24"/>
        </w:rPr>
        <w:t xml:space="preserve">Shared by both tracks, so a defect found in Track A's design approach is treated as a signal to re-check Track B, and vice versa:</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Equivalence Partitioning + Boundary Value Analysis for every numeric/date boundary (age 7/16, income tiers, balance thresholds).</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Decision Tables for any rule combining 2+ conditions (FAS eligibility, combined-payment split).</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State Transition for any entity with a lifecycle (education account Active/Closed, FAS application status).</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Every test case traces to a tender item # today, and to an FSD acceptance criterion once BA publishes it, no orphan test cases.</w:t>
      </w:r>
    </w:p>
    <w:p>
      <w:pPr>
        <w:pStyle w:val="Heading2"/>
      </w:pPr>
      <w:r>
        <w:rPr>
          <w:rFonts w:ascii="Times New Roman" w:cs="Times New Roman" w:eastAsia="Times New Roman" w:hAnsi="Times New Roman"/>
          <w:b/>
          <w:bCs/>
          <w:sz w:val="26"/>
          <w:szCs w:val="26"/>
        </w:rPr>
        <w:t xml:space="preserve">6. AI/ML and Conversational Feature Testing Approach</w:t>
      </w:r>
    </w:p>
    <w:p>
      <w:pPr>
        <w:spacing w:after="120"/>
        <w:jc w:val="both"/>
      </w:pPr>
      <w:r>
        <w:rPr>
          <w:rFonts w:ascii="Times New Roman" w:cs="Times New Roman" w:eastAsia="Times New Roman" w:hAnsi="Times New Roman"/>
          <w:b w:val="false"/>
          <w:bCs w:val="false"/>
          <w:sz w:val="24"/>
          <w:szCs w:val="24"/>
        </w:rPr>
        <w:t xml:space="preserve">Traditional exact-match pass/fail does not apply to the ML risk-tier model or the chatbot. Strategy:</w:t>
      </w:r>
    </w:p>
    <w:p>
      <w:pPr>
        <w:pStyle w:val="ListParagraph"/>
        <w:numPr>
          <w:ilvl w:val="0"/>
          <w:numId w:val="4"/>
        </w:numPr>
        <w:spacing w:after="80"/>
        <w:jc w:val="both"/>
      </w:pPr>
      <w:r>
        <w:rPr>
          <w:rFonts w:ascii="Times New Roman" w:cs="Times New Roman" w:eastAsia="Times New Roman" w:hAnsi="Times New Roman"/>
          <w:b/>
          <w:bCs/>
          <w:sz w:val="24"/>
          <w:szCs w:val="24"/>
        </w:rPr>
        <w:t xml:space="preserve">Rule-based path first.</w:t>
      </w:r>
      <w:r>
        <w:rPr>
          <w:rFonts w:ascii="Times New Roman" w:cs="Times New Roman" w:eastAsia="Times New Roman" w:hAnsi="Times New Roman"/>
          <w:b w:val="false"/>
          <w:bCs w:val="false"/>
          <w:sz w:val="24"/>
          <w:szCs w:val="24"/>
        </w:rPr>
        <w:t xml:space="preserve"> For #4, verify MOE/school FAS eligibility and subsidy calculation using the rule-based logic alone, independent of the ML risk-tier layer, this is the must-have path per PM's plan, and it must be provably correct on its own.</w:t>
      </w:r>
    </w:p>
    <w:p>
      <w:pPr>
        <w:pStyle w:val="ListParagraph"/>
        <w:numPr>
          <w:ilvl w:val="0"/>
          <w:numId w:val="4"/>
        </w:numPr>
        <w:spacing w:after="80"/>
        <w:jc w:val="both"/>
      </w:pPr>
      <w:r>
        <w:rPr>
          <w:rFonts w:ascii="Times New Roman" w:cs="Times New Roman" w:eastAsia="Times New Roman" w:hAnsi="Times New Roman"/>
          <w:b/>
          <w:bCs/>
          <w:sz w:val="24"/>
          <w:szCs w:val="24"/>
        </w:rPr>
        <w:t xml:space="preserve">ML layer tested as classification, not computation.</w:t>
      </w:r>
      <w:r>
        <w:rPr>
          <w:rFonts w:ascii="Times New Roman" w:cs="Times New Roman" w:eastAsia="Times New Roman" w:hAnsi="Times New Roman"/>
          <w:b w:val="false"/>
          <w:bCs w:val="false"/>
          <w:sz w:val="24"/>
          <w:szCs w:val="24"/>
        </w:rPr>
        <w:t xml:space="preserve"> For the risk-tier model (Low/Medium/High), test with curated input sets where the expected tier is unambiguous (clearly low-risk, clearly high-risk profiles) and treat genuinely borderline cases as review items for a human (QA + BA), not as pass/fail defects.</w:t>
      </w:r>
    </w:p>
    <w:p>
      <w:pPr>
        <w:pStyle w:val="ListParagraph"/>
        <w:numPr>
          <w:ilvl w:val="0"/>
          <w:numId w:val="4"/>
        </w:numPr>
        <w:spacing w:after="80"/>
        <w:jc w:val="both"/>
      </w:pPr>
      <w:r>
        <w:rPr>
          <w:rFonts w:ascii="Times New Roman" w:cs="Times New Roman" w:eastAsia="Times New Roman" w:hAnsi="Times New Roman"/>
          <w:b/>
          <w:bCs/>
          <w:sz w:val="24"/>
          <w:szCs w:val="24"/>
        </w:rPr>
        <w:t xml:space="preserve">Chatbot (#8) and auto-fill (#10) tested for guardrails, not eloquence.</w:t>
      </w:r>
      <w:r>
        <w:rPr>
          <w:rFonts w:ascii="Times New Roman" w:cs="Times New Roman" w:eastAsia="Times New Roman" w:hAnsi="Times New Roman"/>
          <w:b w:val="false"/>
          <w:bCs w:val="false"/>
          <w:sz w:val="24"/>
          <w:szCs w:val="24"/>
        </w:rPr>
        <w:t xml:space="preserve"> Confirm the chatbot does not fabricate FAS eligibility answers it isn't authorized to give (scope question raised by BA), and that auto-fill never submits without the parent reviewing pre-filled data.</w:t>
      </w:r>
    </w:p>
    <w:p>
      <w:pPr>
        <w:pStyle w:val="ListParagraph"/>
        <w:numPr>
          <w:ilvl w:val="0"/>
          <w:numId w:val="4"/>
        </w:numPr>
        <w:spacing w:after="80"/>
        <w:jc w:val="both"/>
      </w:pPr>
      <w:r>
        <w:rPr>
          <w:rFonts w:ascii="Times New Roman" w:cs="Times New Roman" w:eastAsia="Times New Roman" w:hAnsi="Times New Roman"/>
          <w:b w:val="false"/>
          <w:bCs w:val="false"/>
          <w:sz w:val="24"/>
          <w:szCs w:val="24"/>
        </w:rPr>
        <w:t xml:space="preserve">Any AI output that is wrong in a way that could change a financial outcome (wrong subsidy tier, wrong auto-filled income figure) is treated as at least Major severity, never Minor/Trivial, regardless of how plausible the output looked.</w:t>
      </w:r>
    </w:p>
    <w:p>
      <w:pPr>
        <w:pStyle w:val="Heading2"/>
      </w:pPr>
      <w:r>
        <w:rPr>
          <w:rFonts w:ascii="Times New Roman" w:cs="Times New Roman" w:eastAsia="Times New Roman" w:hAnsi="Times New Roman"/>
          <w:b/>
          <w:bCs/>
          <w:sz w:val="26"/>
          <w:szCs w:val="26"/>
        </w:rPr>
        <w:t xml:space="preserve">7. Defect Severity and Priority</w:t>
      </w:r>
    </w:p>
    <w:p>
      <w:pPr>
        <w:spacing w:after="120"/>
        <w:jc w:val="both"/>
      </w:pPr>
      <w:r>
        <w:rPr>
          <w:rFonts w:ascii="Times New Roman" w:cs="Times New Roman" w:eastAsia="Times New Roman" w:hAnsi="Times New Roman"/>
          <w:b w:val="false"/>
          <w:bCs w:val="false"/>
          <w:sz w:val="24"/>
          <w:szCs w:val="24"/>
        </w:rPr>
        <w:t xml:space="preserve">Severity table as defined in roles/qalead/test-plan.docx §2.5 applies project-wide (Blocker/Critical/Major/Minor/Trivial). This strategy adds the priority dimension, used alongside severity to sequence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Priority</w:t>
            </w:r>
          </w:p>
        </w:tc>
        <w:tc>
          <w:tcPr>
            <w:tcW w:type="dxa" w:w="788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Meaning</w:t>
            </w:r>
          </w:p>
        </w:tc>
      </w:tr>
      <w:tr>
        <w:trPr>
          <w:cantSplit/>
          <w:tblHeader w:val="false"/>
        </w:trPr>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P1</w:t>
            </w:r>
          </w:p>
        </w:tc>
        <w:tc>
          <w:tcPr>
            <w:tcW w:type="dxa" w:w="78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Fix before any further testing continues on that track</w:t>
            </w:r>
          </w:p>
        </w:tc>
      </w:tr>
      <w:tr>
        <w:trPr>
          <w:cantSplit/>
          <w:tblHeader w:val="false"/>
        </w:trPr>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P2</w:t>
            </w:r>
          </w:p>
        </w:tc>
        <w:tc>
          <w:tcPr>
            <w:tcW w:type="dxa" w:w="78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Fix before that sprint's exit</w:t>
            </w:r>
          </w:p>
        </w:tc>
      </w:tr>
      <w:tr>
        <w:trPr>
          <w:cantSplit/>
          <w:tblHeader w:val="false"/>
        </w:trPr>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P3</w:t>
            </w:r>
          </w:p>
        </w:tc>
        <w:tc>
          <w:tcPr>
            <w:tcW w:type="dxa" w:w="78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Fix before release exit (Sprint 3)</w:t>
            </w:r>
          </w:p>
        </w:tc>
      </w:tr>
      <w:tr>
        <w:trPr>
          <w:cantSplit/>
          <w:tblHeader w:val="false"/>
        </w:trPr>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P4</w:t>
            </w:r>
          </w:p>
        </w:tc>
        <w:tc>
          <w:tcPr>
            <w:tcW w:type="dxa" w:w="78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Backlog candidate, does not block this engagement's exit</w:t>
            </w:r>
          </w:p>
        </w:tc>
      </w:tr>
    </w:tbl>
    <w:p>
      <w:pPr>
        <w:spacing w:after="120"/>
      </w:pPr>
    </w:p>
    <w:p>
      <w:pPr>
        <w:pStyle w:val="Heading2"/>
      </w:pPr>
      <w:r>
        <w:rPr>
          <w:rFonts w:ascii="Times New Roman" w:cs="Times New Roman" w:eastAsia="Times New Roman" w:hAnsi="Times New Roman"/>
          <w:b/>
          <w:bCs/>
          <w:sz w:val="26"/>
          <w:szCs w:val="26"/>
        </w:rPr>
        <w:t xml:space="preserve">8. Environment and Data Strategy</w:t>
      </w:r>
    </w:p>
    <w:p>
      <w:pPr>
        <w:spacing w:after="120"/>
        <w:jc w:val="both"/>
      </w:pPr>
      <w:r>
        <w:rPr>
          <w:rFonts w:ascii="Times New Roman" w:cs="Times New Roman" w:eastAsia="Times New Roman" w:hAnsi="Times New Roman"/>
          <w:b w:val="false"/>
          <w:bCs w:val="false"/>
          <w:sz w:val="24"/>
          <w:szCs w:val="24"/>
        </w:rPr>
        <w:t xml:space="preserve">One shared environment for both tracks (detail in Test Plan §3.2) so integration is tested continuously, not only at the Sprint 3 cutover. All test data synthetic, generated to match EP/BVA boundaries (Section 5), never sourced from real MOE/citizen records.</w:t>
      </w:r>
    </w:p>
    <w:p>
      <w:pPr>
        <w:pStyle w:val="Heading2"/>
      </w:pPr>
      <w:r>
        <w:rPr>
          <w:rFonts w:ascii="Times New Roman" w:cs="Times New Roman" w:eastAsia="Times New Roman" w:hAnsi="Times New Roman"/>
          <w:b/>
          <w:bCs/>
          <w:sz w:val="26"/>
          <w:szCs w:val="26"/>
        </w:rPr>
        <w:t xml:space="preserve">9. Metrics</w:t>
      </w:r>
    </w:p>
    <w:p>
      <w:pPr>
        <w:spacing w:after="120"/>
        <w:jc w:val="both"/>
      </w:pPr>
      <w:r>
        <w:rPr>
          <w:rFonts w:ascii="Times New Roman" w:cs="Times New Roman" w:eastAsia="Times New Roman" w:hAnsi="Times New Roman"/>
          <w:b w:val="false"/>
          <w:bCs w:val="false"/>
          <w:sz w:val="24"/>
          <w:szCs w:val="24"/>
        </w:rPr>
        <w:t xml:space="preserve">Tracked per sprint and rolled up at release exit: test case pass rate, % of tender items/FSD criteria with at least one passing test case, open defect count by severity, and, specific to this project's AI features, count of AI outputs flagged for human review versus auto-accepted, to give PM visibility into how much manual oversight the AI layer still needs.</w:t>
      </w:r>
    </w:p>
    <w:p>
      <w:pPr>
        <w:pStyle w:val="Heading2"/>
      </w:pPr>
      <w:r>
        <w:rPr>
          <w:rFonts w:ascii="Times New Roman" w:cs="Times New Roman" w:eastAsia="Times New Roman" w:hAnsi="Times New Roman"/>
          <w:b/>
          <w:bCs/>
          <w:sz w:val="26"/>
          <w:szCs w:val="26"/>
        </w:rPr>
        <w:t xml:space="preserve">10. Relationship to Other QA Documents</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roles/qalead/test-plan.docx, this cycle's concrete schedule, environment setup, and RACI with actual headcount.</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Test cases (not yet created), designed per Section 5 of this document, registered per test-plan.md §5.1.</w:t>
      </w:r>
    </w:p>
    <w:p>
      <w:pPr>
        <w:pStyle w:val="ListParagraph"/>
        <w:numPr>
          <w:ilvl w:val="0"/>
          <w:numId w:val="3"/>
        </w:numPr>
        <w:spacing w:after="80"/>
        <w:jc w:val="both"/>
      </w:pPr>
      <w:r>
        <w:rPr>
          <w:rFonts w:ascii="Times New Roman" w:cs="Times New Roman" w:eastAsia="Times New Roman" w:hAnsi="Times New Roman"/>
          <w:b w:val="false"/>
          <w:bCs w:val="false"/>
          <w:sz w:val="24"/>
          <w:szCs w:val="24"/>
        </w:rPr>
        <w:t xml:space="preserve">This strategy is re-baselined only on a material change (e.g. a new test level added, a new AI feature introduced), not every sprint.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
      <w:lvlJc w:val="left"/>
      <w:pPr>
        <w:ind w:left="144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 Lead</dc:creator>
  <cp:lastModifiedBy>Un-named</cp:lastModifiedBy>
  <cp:revision>1</cp:revision>
  <dcterms:created xsi:type="dcterms:W3CDTF">2026-10-11T10:06:46.580Z</dcterms:created>
  <dcterms:modified xsi:type="dcterms:W3CDTF">2026-10-11T10:06:46.580Z</dcterms:modified>
</cp:coreProperties>
</file>

<file path=docProps/custom.xml><?xml version="1.0" encoding="utf-8"?>
<Properties xmlns="http://schemas.openxmlformats.org/officeDocument/2006/custom-properties" xmlns:vt="http://schemas.openxmlformats.org/officeDocument/2006/docPropsVTypes"/>
</file>