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Dados</w:t>
      </w:r>
      <w:r>
        <w:t xml:space="preserve"> — acerto, Defesa, Teste de Resistência </w:t>
      </w:r>
      <w:r>
        <w:rPr>
          <w:b/>
        </w:rPr>
        <w:t>= o seu número</w:t>
      </w:r>
      <w:r>
        <w:t>, com um deslocamento fixo por cima.</w:t>
        <w:br/>
      </w:r>
      <w:r>
        <w:rPr>
          <w:b/>
        </w:rPr>
        <w:t>Atributos</w:t>
      </w:r>
      <w:r>
        <w:t xml:space="preserve"> — vida e movimento </w:t>
      </w:r>
      <w:r>
        <w:rPr>
          <w:b/>
        </w:rPr>
        <w:t>= fórmula própria, com o atributo dela dentro.</w:t>
      </w:r>
    </w:p>
    <w:p>
      <w:r>
        <w:t>A invocação tem atributos: a Constituição dela entra na vida, e a Força e a Destreza dela entram como deslocamento.</w:t>
      </w:r>
    </w:p>
    <w:p>
      <w:pPr>
        <w:pStyle w:val="Heading3"/>
      </w:pPr>
      <w:r>
        <w:t>Deslocamento</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valor base</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dado ou atributo</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