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continua fazendo efeito normalmente.</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seja direta sobre alma.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 com o tamanho dependendo da Forma.</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Pesada</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Deixa o feitiço pronto e dispara depois, na mesma cena. Disparar ainda gasta ação. </w:t>
            </w:r>
            <w:r>
              <w:rPr>
                <w:i/>
              </w:rPr>
              <w:t>(Em revisão — não usar.)</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Não ignora o seu Selo.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deixando clara a sua posição para quem sentir energia.</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Sukuna</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ou o tempo acabou — </w:t>
      </w:r>
      <w:r>
        <w:rPr>
          <w:b/>
        </w:rPr>
        <w:t>ou chegar a 0 de vida recebe o Acerto do outro na hora.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e o que ela compra é desligar o Acerto dele.</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pPr>
        <w:pStyle w:val="Heading3"/>
      </w:pPr>
      <w:r>
        <w:t>Kokusen</w:t>
      </w:r>
    </w:p>
    <w:p>
      <w:pPr>
        <w:ind w:left="340"/>
      </w:pPr>
      <w:r>
        <w:rPr>
          <w:b/>
        </w:rPr>
        <w:t>Kokusen</w:t>
      </w:r>
      <w:r>
        <w:t xml:space="preserve"> — em crítico no corpo a corpo ou em feitiço de Toque,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fim da cena.</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Abaixo estão 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 xml:space="preserve">Requisito: refino 5, nível 14 e ter tirado um </w:t>
      </w:r>
      <w:r>
        <w:rPr>
          <w:rFonts w:ascii="Consolas" w:hAnsi="Consolas"/>
          <w:sz w:val="20"/>
        </w:rPr>
        <w:t>Kokusen</w:t>
      </w:r>
      <w:r>
        <w:t>.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 xml:space="preserve">Requisito: refino 5 e ter tirado um </w:t>
      </w:r>
      <w:r>
        <w:rPr>
          <w:rFonts w:ascii="Consolas" w:hAnsi="Consolas"/>
          <w:sz w:val="20"/>
        </w:rPr>
        <w:t>Kokusen</w:t>
      </w:r>
      <w:r>
        <w:t>.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 xml:space="preserve">o corpo cru de </w:t>
            </w:r>
            <w:r>
              <w:rPr>
                <w:rFonts w:ascii="Consolas" w:hAnsi="Consolas"/>
                <w:sz w:val="20"/>
              </w:rPr>
              <w:t>Tipos e vida</w:t>
            </w:r>
          </w:p>
        </w:tc>
        <w:tc>
          <w:tcPr>
            <w:tcW w:type="dxa" w:w="2160"/>
          </w:tcPr>
          <w:p>
            <w:r>
              <w:rPr>
                <w:b/>
              </w:rPr>
              <w:t>22</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5 × a vida que a fórmula do tipo dá</w:t>
      </w:r>
      <w:r>
        <w:t xml:space="preserve">, e ela é a mesma para toda invocação — um corpo só, os cinco da </w:t>
      </w:r>
      <w:r>
        <w:rPr>
          <w:rFonts w:ascii="Consolas" w:hAnsi="Consolas"/>
          <w:sz w:val="20"/>
        </w:rPr>
        <w:t>Matilha</w:t>
      </w:r>
      <w:r>
        <w:t xml:space="preserve">, ou o corpo grande do </w:t>
      </w:r>
      <w:r>
        <w:rPr>
          <w:rFonts w:ascii="Consolas" w:hAnsi="Consolas"/>
          <w:sz w:val="20"/>
        </w:rPr>
        <w:t>Servo</w:t>
      </w:r>
      <w:r>
        <w:t>.</w:t>
        <w:br/>
      </w:r>
      <w:r>
        <w:rPr>
          <w:b/>
        </w:rPr>
        <w:t>Ela morre em definitivo se o excedente passar de metade da régua, ou se um único golpe causar a régua inteira.</w:t>
      </w:r>
      <w:r>
        <w:br/>
        <w:t>O talismã se desfaz, o corpo se perde, a invocação de técnica ou a maldição domada é exorcizada.</w:t>
      </w:r>
    </w:p>
    <w:p>
      <w:r>
        <w:t xml:space="preserve">A régua não é a vida daquele corpo, e isso é de propósito: se ela fosse, um corpo pequeno seria destruído de vez por um golpe comum, e um corpo grande sobreviveria ao mesmo golpe. </w:t>
      </w:r>
      <w:r>
        <w:rPr>
          <w:b/>
        </w:rPr>
        <w:t>Morrer de vez precisa de área grande ou de Expansão de Domínio</w:t>
      </w:r>
      <w:r>
        <w:t>, para qualquer invocação.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 a régua da morte é </w:t>
      </w:r>
      <w:r>
        <w:rPr>
          <w:rFonts w:ascii="Consolas" w:hAnsi="Consolas"/>
          <w:sz w:val="20"/>
        </w:rPr>
        <w:t>5 × 32 = 160</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80</w:t>
      </w:r>
      <w:r>
        <w:t xml:space="preserve">, que é metade da régua; e </w:t>
      </w:r>
      <w:r>
        <w:rPr>
          <w:rFonts w:ascii="Consolas" w:hAnsi="Consolas"/>
          <w:sz w:val="20"/>
        </w:rPr>
        <w:t>18</w:t>
      </w:r>
      <w:r>
        <w:t xml:space="preserve"> não chega a </w:t>
      </w:r>
      <w:r>
        <w:rPr>
          <w:rFonts w:ascii="Consolas" w:hAnsi="Consolas"/>
          <w:sz w:val="20"/>
        </w:rPr>
        <w:t>160</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