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: o que evolui é o que você faz com ela. Outra pessoa lê a Regra antes de ela entrar em jogo.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40"/>
        <w:gridCol w:w="5760"/>
      </w:tblGrid>
      <w:tr>
        <w:trPr>
          <w:cantSplit/>
        </w:trPr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TRAVADO NA CRIAÇÃO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576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 atributo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O Selo não custa nem devolve ponto, e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Alcance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Tempo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Mira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Marca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 e uma Restrição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2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É esta página que outra mesa lê para reconhecer o seu personagem.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Na criação só entra o pacto de restrição</w:t>
      </w:r>
      <w:r>
        <w:rPr>
          <w:i/>
          <w:iCs/>
          <w:color w:val="847B86"/>
          <w:sz w:val="14"/>
          <w:szCs w:val="14"/>
        </w:rPr>
        <w:t xml:space="preserve">, escrito junto da Origem ou da técnica. As outras três formas nascem em jogo, e estão no capítulo 17.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máximo; longo devolve tudo em ambiente propício, e metade fora dele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no Manual da Guilda.</w:t>
      </w:r>
      <w:r>
        <w:rPr>
          <w:i/>
          <w:iCs/>
          <w:color w:val="847B86"/>
          <w:sz w:val="14"/>
          <w:szCs w:val="14"/>
        </w:rPr>
        <w:t xml:space="preserve"> Nota de campanha vai no verso.</w:t>
      </w:r>
    </w:p>
    <w:sectPr>
      <w:footerReference w:type="default" r:id="rId9"/>
      <w:pgSz w:w="11906" w:h="16838" w:orient="portrait"/>
      <w:pgMar w:top="4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2026-09-15T00:08:46.085Z</dcterms:created>
  <dcterms:modified xsi:type="dcterms:W3CDTF">2026-09-15T00:08:46.085Z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