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565F7" w:rsidRDefault="00D67884">
      <w:pPr>
        <w:pStyle w:val="Title"/>
        <w:jc w:val="center"/>
        <w:rPr>
          <w:b/>
        </w:rPr>
      </w:pPr>
      <w:bookmarkStart w:id="0" w:name="_ls6332z50i2b" w:colFirst="0" w:colLast="0"/>
      <w:bookmarkEnd w:id="0"/>
      <w:r>
        <w:rPr>
          <w:b/>
        </w:rPr>
        <w:t>KOWARE SERVICE CARDS</w:t>
      </w:r>
    </w:p>
    <w:p w14:paraId="7FFEDBB6" w14:textId="75BE655D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22697DF6">
          <v:rect id="_x0000_i1232" style="width:0;height:1.5pt" o:hralign="center" o:hrstd="t" o:hr="t" fillcolor="#a0a0a0" stroked="f"/>
        </w:pict>
      </w:r>
    </w:p>
    <w:p w14:paraId="6F3FC6B5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0. Purpose &amp; Positioning</w:t>
      </w:r>
    </w:p>
    <w:p w14:paraId="7CB6F5AD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Koware Service Cards (aka </w:t>
      </w:r>
      <w:r w:rsidRPr="00D67884">
        <w:rPr>
          <w:rFonts w:ascii="Times New Roman" w:eastAsia="Times New Roman" w:hAnsi="Times New Roman" w:cs="Times New Roman"/>
          <w:i/>
          <w:iCs/>
          <w:sz w:val="24"/>
          <w:szCs w:val="24"/>
          <w:lang w:val="en-GH"/>
        </w:rPr>
        <w:t>Koware SmartCards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) are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multi-purpose micro-flyers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designed to function as tickets, fundraising tools, engagement devices, discount cards, research instruments, and collectible artifacts.</w:t>
      </w:r>
    </w:p>
    <w:p w14:paraId="11FBEBA8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They serve as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bridges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between physical distribution and Koware’s digital ecosystem (Buzzjuice.net), delivering value, data, brand reach, and revenue.</w:t>
      </w:r>
    </w:p>
    <w:p w14:paraId="088C3E9D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441210B2">
          <v:rect id="_x0000_i1233" style="width:0;height:1.5pt" o:hralign="center" o:hrstd="t" o:hr="t" fillcolor="#a0a0a0" stroked="f"/>
        </w:pict>
      </w:r>
    </w:p>
    <w:p w14:paraId="074AB174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1. Strategic Objectives (Refined)</w:t>
      </w:r>
    </w:p>
    <w:p w14:paraId="57866D41" w14:textId="77777777" w:rsidR="00D67884" w:rsidRPr="00D67884" w:rsidRDefault="00D67884" w:rsidP="00D678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Revenue &amp; Profit</w:t>
      </w:r>
    </w:p>
    <w:p w14:paraId="5B1A46B4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Target gross margins between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50% to 70%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per card.</w:t>
      </w:r>
    </w:p>
    <w:p w14:paraId="1A175D68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After commission and operating costs, aim for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net profit ≥ GH₵ 3.00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on average standard cards.</w:t>
      </w:r>
    </w:p>
    <w:p w14:paraId="0D67157B" w14:textId="77777777" w:rsidR="00D67884" w:rsidRPr="00D67884" w:rsidRDefault="00D67884" w:rsidP="00D678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Engagement &amp; Retention</w:t>
      </w:r>
    </w:p>
    <w:p w14:paraId="46AFDA16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Turn the purchase into a digital flow: activate → points → referral → repeat buy.</w:t>
      </w:r>
    </w:p>
    <w:p w14:paraId="634E65FE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Build user loyalty and habituation via collectible series, puzzles, and rewards.</w:t>
      </w:r>
    </w:p>
    <w:p w14:paraId="51AB9F9B" w14:textId="77777777" w:rsidR="00D67884" w:rsidRPr="00D67884" w:rsidRDefault="00D67884" w:rsidP="00D678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Data &amp; Research</w:t>
      </w:r>
    </w:p>
    <w:p w14:paraId="4016F173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Use micro-surveys to collect market, interest, and demographics.</w:t>
      </w:r>
    </w:p>
    <w:p w14:paraId="4B399115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Use activation metrics to validate new content, themes, and editions.</w:t>
      </w:r>
    </w:p>
    <w:p w14:paraId="7A7FB754" w14:textId="77777777" w:rsidR="00D67884" w:rsidRPr="00D67884" w:rsidRDefault="00D67884" w:rsidP="00D678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Scalability &amp; Distribution Reach</w:t>
      </w:r>
    </w:p>
    <w:p w14:paraId="10A91684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Leverage low-cost prints + digital twin versions.</w:t>
      </w:r>
    </w:p>
    <w:p w14:paraId="41D18950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Expand vendor network (street, retail, events, institutional).</w:t>
      </w:r>
    </w:p>
    <w:p w14:paraId="1E8DA738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Build back-end systems to manage codes, batches, commissions, fraud.</w:t>
      </w:r>
    </w:p>
    <w:p w14:paraId="3B54CB10" w14:textId="77777777" w:rsidR="00D67884" w:rsidRPr="00D67884" w:rsidRDefault="00D67884" w:rsidP="00D678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Brand Growth &amp; Community</w:t>
      </w:r>
    </w:p>
    <w:p w14:paraId="3EFEF5BC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Make Service Cards a recognizable Koware product line.</w:t>
      </w:r>
    </w:p>
    <w:p w14:paraId="56260DBB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Foster community excitement (leaderboards, public winner announcements, social sharing).</w:t>
      </w:r>
    </w:p>
    <w:p w14:paraId="0CE99002" w14:textId="77777777" w:rsidR="00D67884" w:rsidRPr="00D67884" w:rsidRDefault="00D67884" w:rsidP="00D67884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Use co-branding and partnerships to expand reach outside Koware’s immediate audience.</w:t>
      </w:r>
    </w:p>
    <w:p w14:paraId="774664BB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04175DB3">
          <v:rect id="_x0000_i1234" style="width:0;height:1.5pt" o:hralign="center" o:hrstd="t" o:hr="t" fillcolor="#a0a0a0" stroked="f"/>
        </w:pict>
      </w:r>
    </w:p>
    <w:p w14:paraId="62934920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2. Financial Model &amp; Pricing Strategy (Base cost = GH₵ 2.45)</w:t>
      </w:r>
    </w:p>
    <w:p w14:paraId="47693FBE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2.1 Key Assumptions</w:t>
      </w:r>
    </w:p>
    <w:p w14:paraId="2BBF442D" w14:textId="77777777" w:rsidR="00D67884" w:rsidRPr="00D67884" w:rsidRDefault="00D67884" w:rsidP="00D678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Base cost (all-in)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GH₵ 2.45 per card (printing, finish, scratch varnish, packaging).</w:t>
      </w:r>
    </w:p>
    <w:p w14:paraId="63A73841" w14:textId="77777777" w:rsidR="00D67884" w:rsidRPr="00D67884" w:rsidRDefault="00D67884" w:rsidP="00D678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lastRenderedPageBreak/>
        <w:t>Retail price (P)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and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gross margin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(P – 2.45) / P.</w:t>
      </w:r>
    </w:p>
    <w:p w14:paraId="21260183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2.2 Price Tiers &amp; Margins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2"/>
        <w:gridCol w:w="1360"/>
        <w:gridCol w:w="1494"/>
        <w:gridCol w:w="2648"/>
      </w:tblGrid>
      <w:tr w:rsidR="00D67884" w:rsidRPr="00D67884" w14:paraId="4670CFD9" w14:textId="77777777" w:rsidTr="00D678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14C7A5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Tier</w:t>
            </w:r>
          </w:p>
        </w:tc>
        <w:tc>
          <w:tcPr>
            <w:tcW w:w="0" w:type="auto"/>
            <w:vAlign w:val="center"/>
            <w:hideMark/>
          </w:tcPr>
          <w:p w14:paraId="1A3BE29B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Price (GH₵)</w:t>
            </w:r>
          </w:p>
        </w:tc>
        <w:tc>
          <w:tcPr>
            <w:tcW w:w="0" w:type="auto"/>
            <w:vAlign w:val="center"/>
            <w:hideMark/>
          </w:tcPr>
          <w:p w14:paraId="067109BC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Gross Margin</w:t>
            </w:r>
          </w:p>
        </w:tc>
        <w:tc>
          <w:tcPr>
            <w:tcW w:w="0" w:type="auto"/>
            <w:vAlign w:val="center"/>
            <w:hideMark/>
          </w:tcPr>
          <w:p w14:paraId="398F3854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Profit before commission</w:t>
            </w:r>
          </w:p>
        </w:tc>
      </w:tr>
      <w:tr w:rsidR="00D67884" w:rsidRPr="00D67884" w14:paraId="65FAD1C9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28FCC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Entry</w:t>
            </w:r>
          </w:p>
        </w:tc>
        <w:tc>
          <w:tcPr>
            <w:tcW w:w="0" w:type="auto"/>
            <w:vAlign w:val="center"/>
            <w:hideMark/>
          </w:tcPr>
          <w:p w14:paraId="3EB36864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4.90</w:t>
            </w:r>
          </w:p>
        </w:tc>
        <w:tc>
          <w:tcPr>
            <w:tcW w:w="0" w:type="auto"/>
            <w:vAlign w:val="center"/>
            <w:hideMark/>
          </w:tcPr>
          <w:p w14:paraId="03B891BC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50.0%</w:t>
            </w:r>
          </w:p>
        </w:tc>
        <w:tc>
          <w:tcPr>
            <w:tcW w:w="0" w:type="auto"/>
            <w:vAlign w:val="center"/>
            <w:hideMark/>
          </w:tcPr>
          <w:p w14:paraId="5ABB7EC2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2.45</w:t>
            </w:r>
          </w:p>
        </w:tc>
      </w:tr>
      <w:tr w:rsidR="00D67884" w:rsidRPr="00D67884" w14:paraId="6D3A4AB2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EE8C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Standard</w:t>
            </w:r>
          </w:p>
        </w:tc>
        <w:tc>
          <w:tcPr>
            <w:tcW w:w="0" w:type="auto"/>
            <w:vAlign w:val="center"/>
            <w:hideMark/>
          </w:tcPr>
          <w:p w14:paraId="0845158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6.50</w:t>
            </w:r>
          </w:p>
        </w:tc>
        <w:tc>
          <w:tcPr>
            <w:tcW w:w="0" w:type="auto"/>
            <w:vAlign w:val="center"/>
            <w:hideMark/>
          </w:tcPr>
          <w:p w14:paraId="5D589458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62.3%</w:t>
            </w:r>
          </w:p>
        </w:tc>
        <w:tc>
          <w:tcPr>
            <w:tcW w:w="0" w:type="auto"/>
            <w:vAlign w:val="center"/>
            <w:hideMark/>
          </w:tcPr>
          <w:p w14:paraId="2A3FD0C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4.05</w:t>
            </w:r>
          </w:p>
        </w:tc>
      </w:tr>
      <w:tr w:rsidR="00D67884" w:rsidRPr="00D67884" w14:paraId="30A211BC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0830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Premium / Corporate</w:t>
            </w:r>
          </w:p>
        </w:tc>
        <w:tc>
          <w:tcPr>
            <w:tcW w:w="0" w:type="auto"/>
            <w:vAlign w:val="center"/>
            <w:hideMark/>
          </w:tcPr>
          <w:p w14:paraId="5BBF80D4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9.90+</w:t>
            </w:r>
          </w:p>
        </w:tc>
        <w:tc>
          <w:tcPr>
            <w:tcW w:w="0" w:type="auto"/>
            <w:vAlign w:val="center"/>
            <w:hideMark/>
          </w:tcPr>
          <w:p w14:paraId="5CBE246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~75.3%+</w:t>
            </w:r>
          </w:p>
        </w:tc>
        <w:tc>
          <w:tcPr>
            <w:tcW w:w="0" w:type="auto"/>
            <w:vAlign w:val="center"/>
            <w:hideMark/>
          </w:tcPr>
          <w:p w14:paraId="05873FAA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7.45+</w:t>
            </w:r>
          </w:p>
        </w:tc>
      </w:tr>
    </w:tbl>
    <w:p w14:paraId="548F1CE2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These tiers allow flexibility across channels and market segments.</w:t>
      </w:r>
    </w:p>
    <w:p w14:paraId="1153DDCD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2.3 Commission &amp; Net Profit Scenarios</w:t>
      </w:r>
    </w:p>
    <w:p w14:paraId="5970B0D3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For a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Standard card at GH₵ 6.50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</w:t>
      </w:r>
    </w:p>
    <w:p w14:paraId="533C8710" w14:textId="77777777" w:rsidR="00D67884" w:rsidRPr="00D67884" w:rsidRDefault="00D67884" w:rsidP="00D678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Gross profit = 6.50 – 2.45 =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GH₵ 4.05</w:t>
      </w:r>
    </w:p>
    <w:p w14:paraId="541646AE" w14:textId="77777777" w:rsidR="00D67884" w:rsidRPr="00D67884" w:rsidRDefault="00D67884" w:rsidP="00D678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Commission @ 15% of retail (0.975) → net =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GH₵ 3.075</w:t>
      </w:r>
    </w:p>
    <w:p w14:paraId="75A26131" w14:textId="77777777" w:rsidR="00D67884" w:rsidRPr="00D67884" w:rsidRDefault="00D67884" w:rsidP="00D678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At 12% commission → net =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GH₵ 3.27</w:t>
      </w:r>
    </w:p>
    <w:p w14:paraId="717788C9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If you manage to shift more sales to premium or direct (zero commission), net profit per card can increase substantially.</w:t>
      </w:r>
    </w:p>
    <w:p w14:paraId="11C78E1E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2.4 Volume Projection Example (1,000 cards)</w:t>
      </w:r>
    </w:p>
    <w:p w14:paraId="2FA3DB8F" w14:textId="77777777" w:rsidR="00D67884" w:rsidRPr="00D67884" w:rsidRDefault="00D67884" w:rsidP="00D678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Revenue: GH₵ 6,500</w:t>
      </w:r>
    </w:p>
    <w:p w14:paraId="3C2ABB71" w14:textId="77777777" w:rsidR="00D67884" w:rsidRPr="00D67884" w:rsidRDefault="00D67884" w:rsidP="00D678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Cost: GH₵ 2,450</w:t>
      </w:r>
    </w:p>
    <w:p w14:paraId="4E65A442" w14:textId="77777777" w:rsidR="00D67884" w:rsidRPr="00D67884" w:rsidRDefault="00D67884" w:rsidP="00D678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Gross profit: GH₵ 4,050</w:t>
      </w:r>
    </w:p>
    <w:p w14:paraId="2C5B5963" w14:textId="77777777" w:rsidR="00D67884" w:rsidRPr="00D67884" w:rsidRDefault="00D67884" w:rsidP="00D678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Commissions (15%): GH₵ 975</w:t>
      </w:r>
    </w:p>
    <w:p w14:paraId="4780E389" w14:textId="77777777" w:rsidR="00D67884" w:rsidRPr="00D67884" w:rsidRDefault="00D67884" w:rsidP="00D6788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Net profit: GH₵ 3,075</w:t>
      </w:r>
    </w:p>
    <w:p w14:paraId="36A5DDEE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(You can scale this linearly or with economies in distribution/logistics.)</w:t>
      </w:r>
    </w:p>
    <w:p w14:paraId="143FC12A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0F725820">
          <v:rect id="_x0000_i1235" style="width:0;height:1.5pt" o:hralign="center" o:hrstd="t" o:hr="t" fillcolor="#a0a0a0" stroked="f"/>
        </w:pict>
      </w:r>
    </w:p>
    <w:p w14:paraId="6CE22998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3. A7 Panel Layout &amp; Content Specification</w:t>
      </w:r>
    </w:p>
    <w:p w14:paraId="3B62950B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Design for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A7 (74 × 105 mm trimmed)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— confirm with your printer. Use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3 mm bleed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and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4 mm safe zone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.</w:t>
      </w:r>
    </w:p>
    <w:p w14:paraId="4FFCA555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Each card is one A7 sheet folded (4 panels). Below is the recommended content allocation, UX logic, and print specs.</w:t>
      </w:r>
    </w:p>
    <w:p w14:paraId="2A5F7BA8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3.1 Panel-by-Panel Purpose &amp; Content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1470"/>
        <w:gridCol w:w="3558"/>
        <w:gridCol w:w="2278"/>
      </w:tblGrid>
      <w:tr w:rsidR="00D67884" w:rsidRPr="00D67884" w14:paraId="2E37A66A" w14:textId="77777777" w:rsidTr="00D678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17A457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lastRenderedPageBreak/>
              <w:t>Panel</w:t>
            </w:r>
          </w:p>
        </w:tc>
        <w:tc>
          <w:tcPr>
            <w:tcW w:w="0" w:type="auto"/>
            <w:vAlign w:val="center"/>
            <w:hideMark/>
          </w:tcPr>
          <w:p w14:paraId="22085BF3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Role / Purpose</w:t>
            </w:r>
          </w:p>
        </w:tc>
        <w:tc>
          <w:tcPr>
            <w:tcW w:w="0" w:type="auto"/>
            <w:vAlign w:val="center"/>
            <w:hideMark/>
          </w:tcPr>
          <w:p w14:paraId="35BC318D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Key Content &amp; UX</w:t>
            </w:r>
          </w:p>
        </w:tc>
        <w:tc>
          <w:tcPr>
            <w:tcW w:w="0" w:type="auto"/>
            <w:vAlign w:val="center"/>
            <w:hideMark/>
          </w:tcPr>
          <w:p w14:paraId="0FC5B183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Enhancements</w:t>
            </w:r>
          </w:p>
        </w:tc>
      </w:tr>
      <w:tr w:rsidR="00D67884" w:rsidRPr="00D67884" w14:paraId="61A0630E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7F059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Panel 1 (Front / Hook)</w:t>
            </w:r>
          </w:p>
        </w:tc>
        <w:tc>
          <w:tcPr>
            <w:tcW w:w="0" w:type="auto"/>
            <w:vAlign w:val="center"/>
            <w:hideMark/>
          </w:tcPr>
          <w:p w14:paraId="6DCC56E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Attract, convey value, prompt scan</w:t>
            </w:r>
          </w:p>
        </w:tc>
        <w:tc>
          <w:tcPr>
            <w:tcW w:w="0" w:type="auto"/>
            <w:vAlign w:val="center"/>
            <w:hideMark/>
          </w:tcPr>
          <w:p w14:paraId="532DD9B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- Title / Edition / Tagline - Price display or vendor stamp area - QR code (min 25 × 25 mm) - Shortlink (12–18 chars) - Serial number + code box (scratch-masked) - Hero background image (30–40% opacity) - CTA: “Scratch, scan &amp; activate!”</w:t>
            </w:r>
          </w:p>
        </w:tc>
        <w:tc>
          <w:tcPr>
            <w:tcW w:w="0" w:type="auto"/>
            <w:vAlign w:val="center"/>
            <w:hideMark/>
          </w:tcPr>
          <w:p w14:paraId="2105412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Add “Collect all X in Series”, limited edition badge, or iconography (e.g., “#3 of 8”)</w:t>
            </w:r>
          </w:p>
        </w:tc>
      </w:tr>
      <w:tr w:rsidR="00D67884" w:rsidRPr="00D67884" w14:paraId="592E9179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508A5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Panel 2 (Inside Left / Engagement)</w:t>
            </w:r>
          </w:p>
        </w:tc>
        <w:tc>
          <w:tcPr>
            <w:tcW w:w="0" w:type="auto"/>
            <w:vAlign w:val="center"/>
            <w:hideMark/>
          </w:tcPr>
          <w:p w14:paraId="192985C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Incentivize activation &amp; engagement</w:t>
            </w:r>
          </w:p>
        </w:tc>
        <w:tc>
          <w:tcPr>
            <w:tcW w:w="0" w:type="auto"/>
            <w:vAlign w:val="center"/>
            <w:hideMark/>
          </w:tcPr>
          <w:p w14:paraId="68FCC82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- Article teaser (20–30 words) - Did-you-know fact / micro-quote - Micro-riddle/clue - Scratch-off area overlaying code or prize</w:t>
            </w:r>
          </w:p>
        </w:tc>
        <w:tc>
          <w:tcPr>
            <w:tcW w:w="0" w:type="auto"/>
            <w:vAlign w:val="center"/>
            <w:hideMark/>
          </w:tcPr>
          <w:p w14:paraId="4496685D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Keep single, clean CTA (scan or visit). Avoid multiple links that distract.</w:t>
            </w:r>
          </w:p>
        </w:tc>
      </w:tr>
      <w:tr w:rsidR="00D67884" w:rsidRPr="00D67884" w14:paraId="2A5DC065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FB90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Panel 3 (Inside Right / Survey &amp; Points)</w:t>
            </w:r>
          </w:p>
        </w:tc>
        <w:tc>
          <w:tcPr>
            <w:tcW w:w="0" w:type="auto"/>
            <w:vAlign w:val="center"/>
            <w:hideMark/>
          </w:tcPr>
          <w:p w14:paraId="26BB2FB8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Data capture &amp; loyalty</w:t>
            </w:r>
          </w:p>
        </w:tc>
        <w:tc>
          <w:tcPr>
            <w:tcW w:w="0" w:type="auto"/>
            <w:vAlign w:val="center"/>
            <w:hideMark/>
          </w:tcPr>
          <w:p w14:paraId="7622735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- 2–3 quick micro-questions (checkbox / emoji) - Activation prompt: “Scan to submit → get X points + raffle entry” - Privacy note / consent line</w:t>
            </w:r>
          </w:p>
        </w:tc>
        <w:tc>
          <w:tcPr>
            <w:tcW w:w="0" w:type="auto"/>
            <w:vAlign w:val="center"/>
            <w:hideMark/>
          </w:tcPr>
          <w:p w14:paraId="22AEE39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Use innate motivations (e.g. “Your opinion gives you a reward”)</w:t>
            </w:r>
          </w:p>
        </w:tc>
      </w:tr>
      <w:tr w:rsidR="00D67884" w:rsidRPr="00D67884" w14:paraId="75F7765A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AA06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Panel 4 (Back / Record &amp; Referral)</w:t>
            </w:r>
          </w:p>
        </w:tc>
        <w:tc>
          <w:tcPr>
            <w:tcW w:w="0" w:type="auto"/>
            <w:vAlign w:val="center"/>
            <w:hideMark/>
          </w:tcPr>
          <w:p w14:paraId="51D98F93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Record holder &amp; referral system</w:t>
            </w:r>
          </w:p>
        </w:tc>
        <w:tc>
          <w:tcPr>
            <w:tcW w:w="0" w:type="auto"/>
            <w:vAlign w:val="center"/>
            <w:hideMark/>
          </w:tcPr>
          <w:p w14:paraId="2265DEA9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- Holder fields: name, phone, location, date - Vendor ID / batch number (stamp zone) - Referral code (short, memorable) + web link - (Optional) perforation for stub (vendor keeps stub) - Mini coupon strip / re-purchase incentive</w:t>
            </w:r>
          </w:p>
        </w:tc>
        <w:tc>
          <w:tcPr>
            <w:tcW w:w="0" w:type="auto"/>
            <w:vAlign w:val="center"/>
            <w:hideMark/>
          </w:tcPr>
          <w:p w14:paraId="391BAE38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Micro-terms &amp; redemption windows, watermark or latent pattern for authenticity</w:t>
            </w:r>
          </w:p>
        </w:tc>
      </w:tr>
    </w:tbl>
    <w:p w14:paraId="31845CFF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3.2 Print &amp; Technical Specifications</w:t>
      </w:r>
    </w:p>
    <w:p w14:paraId="3DF077AE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Bleed: 3 mm</w:t>
      </w:r>
    </w:p>
    <w:p w14:paraId="4D2C2E45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Safe zone: 4 mm</w:t>
      </w:r>
    </w:p>
    <w:p w14:paraId="32F7E1A9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Font sizing: body text min ~7 pt post-print test</w:t>
      </w:r>
    </w:p>
    <w:p w14:paraId="6A98ED01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QR size: min 25 mm × 25 mm</w:t>
      </w:r>
    </w:p>
    <w:p w14:paraId="07C92CB0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Scratch-off overlay: area ~20 × 10 mm (or larger depending on code length)</w:t>
      </w:r>
    </w:p>
    <w:p w14:paraId="4BC40FF0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Code format: masked under scratch-off varnish (e.g. “KSC-ABCDE1234”)</w:t>
      </w:r>
    </w:p>
    <w:p w14:paraId="3BA44646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Anti-fraud: batch ID, serial numbering, micro-perf watermark if budget allows</w:t>
      </w:r>
    </w:p>
    <w:p w14:paraId="2828CE56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Finish: matte or gloss lamination; logo / title spot-UV optional; scratch varnish for code</w:t>
      </w:r>
    </w:p>
    <w:p w14:paraId="40808A17" w14:textId="77777777" w:rsidR="00D67884" w:rsidRPr="00D67884" w:rsidRDefault="00D67884" w:rsidP="00D6788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Perforation line: if using detachable stub design</w:t>
      </w:r>
    </w:p>
    <w:p w14:paraId="1E3E6DD2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30AB6AAA">
          <v:rect id="_x0000_i1236" style="width:0;height:1.5pt" o:hralign="center" o:hrstd="t" o:hr="t" fillcolor="#a0a0a0" stroked="f"/>
        </w:pict>
      </w:r>
    </w:p>
    <w:p w14:paraId="5C07E67B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4. Feature &amp; Digital Integration Roadmap</w:t>
      </w:r>
    </w:p>
    <w:p w14:paraId="3621EAAE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Below is a phased list of features aligned with ROI, complexity, and impact.</w:t>
      </w:r>
    </w:p>
    <w:p w14:paraId="4E34E190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4.1 High-Priority / Initial (0–90 days)</w:t>
      </w:r>
    </w:p>
    <w:p w14:paraId="5DBE2EAC" w14:textId="77777777" w:rsidR="00D67884" w:rsidRPr="00D67884" w:rsidRDefault="00D67884" w:rsidP="00D678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lastRenderedPageBreak/>
        <w:t>Unique activation codes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, single-use, masked under scratch</w:t>
      </w:r>
    </w:p>
    <w:p w14:paraId="641162C2" w14:textId="77777777" w:rsidR="00D67884" w:rsidRPr="00D67884" w:rsidRDefault="00D67884" w:rsidP="00D678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Activation endpoint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(mobile + web) with code validation</w:t>
      </w:r>
    </w:p>
    <w:p w14:paraId="0A06AA5C" w14:textId="77777777" w:rsidR="00D67884" w:rsidRPr="00D67884" w:rsidRDefault="00D67884" w:rsidP="00D678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Points/loyalty ledger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tied to phone/email</w:t>
      </w:r>
    </w:p>
    <w:p w14:paraId="3CC244E4" w14:textId="77777777" w:rsidR="00D67884" w:rsidRPr="00D67884" w:rsidRDefault="00D67884" w:rsidP="00D678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Leaderboard / monthly rewards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to stimulate competition</w:t>
      </w:r>
    </w:p>
    <w:p w14:paraId="03D9C4E2" w14:textId="77777777" w:rsidR="00D67884" w:rsidRPr="00D67884" w:rsidRDefault="00D67884" w:rsidP="00D678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Batch tracking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for vendors (batch IDs, vendor registries)</w:t>
      </w:r>
    </w:p>
    <w:p w14:paraId="5462D4B6" w14:textId="77777777" w:rsidR="00D67884" w:rsidRPr="00D67884" w:rsidRDefault="00D67884" w:rsidP="00D678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Referral code system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(assign and track)</w:t>
      </w:r>
    </w:p>
    <w:p w14:paraId="6E873650" w14:textId="77777777" w:rsidR="00D67884" w:rsidRPr="00D67884" w:rsidRDefault="00D67884" w:rsidP="00D6788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Basic fraud controls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OTP validation, rate limiting, CAPTCHAs</w:t>
      </w:r>
    </w:p>
    <w:p w14:paraId="543B7FFD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4.2 Mid-Term (3–9 months)</w:t>
      </w:r>
    </w:p>
    <w:p w14:paraId="09AA0087" w14:textId="77777777" w:rsidR="00D67884" w:rsidRPr="00D67884" w:rsidRDefault="00D67884" w:rsidP="00D678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Digital twin / e-card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version for instant delivery (WhatsApp, email)</w:t>
      </w:r>
    </w:p>
    <w:p w14:paraId="59E2F8EF" w14:textId="77777777" w:rsidR="00D67884" w:rsidRPr="00D67884" w:rsidRDefault="00D67884" w:rsidP="00D678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Referral API / automation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(invite, link generation, commission tracking)</w:t>
      </w:r>
    </w:p>
    <w:p w14:paraId="7374C402" w14:textId="77777777" w:rsidR="00D67884" w:rsidRPr="00D67884" w:rsidRDefault="00D67884" w:rsidP="00D678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Dashboard / analytics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for activation, vendor performance, sales, fraud</w:t>
      </w:r>
    </w:p>
    <w:p w14:paraId="6190831A" w14:textId="77777777" w:rsidR="00D67884" w:rsidRPr="00D67884" w:rsidRDefault="00D67884" w:rsidP="00D678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AR features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(premium editions trigger AR visuals via QR)</w:t>
      </w:r>
    </w:p>
    <w:p w14:paraId="00025863" w14:textId="77777777" w:rsidR="00D67884" w:rsidRPr="00D67884" w:rsidRDefault="00D67884" w:rsidP="00D6788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White-label / co-branded cards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with partner institutions</w:t>
      </w:r>
    </w:p>
    <w:p w14:paraId="75057C91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4.3 Long-Term (9–18 months+)</w:t>
      </w:r>
    </w:p>
    <w:p w14:paraId="6E88C621" w14:textId="77777777" w:rsidR="00D67884" w:rsidRPr="00D67884" w:rsidRDefault="00D67884" w:rsidP="00D678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Adaptive personalization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(cards keyed to user history or location)</w:t>
      </w:r>
    </w:p>
    <w:p w14:paraId="1025C692" w14:textId="77777777" w:rsidR="00D67884" w:rsidRPr="00D67884" w:rsidRDefault="00D67884" w:rsidP="00D678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NFC-enabled premium cards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(for anti-fraud &amp; richer interaction)</w:t>
      </w:r>
    </w:p>
    <w:p w14:paraId="143F75C8" w14:textId="77777777" w:rsidR="00D67884" w:rsidRPr="00D67884" w:rsidRDefault="00D67884" w:rsidP="00D678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Advanced fraud detection / anomaly alerts</w:t>
      </w:r>
    </w:p>
    <w:p w14:paraId="6196299C" w14:textId="77777777" w:rsidR="00D67884" w:rsidRPr="00D67884" w:rsidRDefault="00D67884" w:rsidP="00D678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Subscription / membership tie-ins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(serial-upgrade to paid subscriptions)</w:t>
      </w:r>
    </w:p>
    <w:p w14:paraId="58C7291A" w14:textId="77777777" w:rsidR="00D67884" w:rsidRPr="00D67884" w:rsidRDefault="00D67884" w:rsidP="00D6788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Integration with external platforms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(e.g. partner institution systems)</w:t>
      </w:r>
    </w:p>
    <w:p w14:paraId="6B80A5B5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3B27C796">
          <v:rect id="_x0000_i1237" style="width:0;height:1.5pt" o:hralign="center" o:hrstd="t" o:hr="t" fillcolor="#a0a0a0" stroked="f"/>
        </w:pict>
      </w:r>
    </w:p>
    <w:p w14:paraId="4161F3BC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5. Distribution &amp; Channel Strategy</w:t>
      </w:r>
    </w:p>
    <w:p w14:paraId="65D04B30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5.1 Channels &amp; Commission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2126"/>
        <w:gridCol w:w="2059"/>
        <w:gridCol w:w="2424"/>
      </w:tblGrid>
      <w:tr w:rsidR="00D67884" w:rsidRPr="00D67884" w14:paraId="11B2BF24" w14:textId="77777777" w:rsidTr="00D678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E14CC1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184A3333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Target Role</w:t>
            </w:r>
          </w:p>
        </w:tc>
        <w:tc>
          <w:tcPr>
            <w:tcW w:w="0" w:type="auto"/>
            <w:vAlign w:val="center"/>
            <w:hideMark/>
          </w:tcPr>
          <w:p w14:paraId="719AF003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Commission / Margin</w:t>
            </w:r>
          </w:p>
        </w:tc>
        <w:tc>
          <w:tcPr>
            <w:tcW w:w="0" w:type="auto"/>
            <w:vAlign w:val="center"/>
            <w:hideMark/>
          </w:tcPr>
          <w:p w14:paraId="5FF694AE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Suggested Retail Price</w:t>
            </w:r>
          </w:p>
        </w:tc>
      </w:tr>
      <w:tr w:rsidR="00D67884" w:rsidRPr="00D67884" w14:paraId="48BE8C73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B791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Street vendors / students</w:t>
            </w:r>
          </w:p>
        </w:tc>
        <w:tc>
          <w:tcPr>
            <w:tcW w:w="0" w:type="auto"/>
            <w:vAlign w:val="center"/>
            <w:hideMark/>
          </w:tcPr>
          <w:p w14:paraId="7D40EC8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High-volume, impulse purchase</w:t>
            </w:r>
          </w:p>
        </w:tc>
        <w:tc>
          <w:tcPr>
            <w:tcW w:w="0" w:type="auto"/>
            <w:vAlign w:val="center"/>
            <w:hideMark/>
          </w:tcPr>
          <w:p w14:paraId="3EBEBEF9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10–12% commission</w:t>
            </w:r>
          </w:p>
        </w:tc>
        <w:tc>
          <w:tcPr>
            <w:tcW w:w="0" w:type="auto"/>
            <w:vAlign w:val="center"/>
            <w:hideMark/>
          </w:tcPr>
          <w:p w14:paraId="36B13EAF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GH₵ 4.90 – 5.50</w:t>
            </w:r>
          </w:p>
        </w:tc>
      </w:tr>
      <w:tr w:rsidR="00D67884" w:rsidRPr="00D67884" w14:paraId="716A9D52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EFF8D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Retail stores / kiosks</w:t>
            </w:r>
          </w:p>
        </w:tc>
        <w:tc>
          <w:tcPr>
            <w:tcW w:w="0" w:type="auto"/>
            <w:vAlign w:val="center"/>
            <w:hideMark/>
          </w:tcPr>
          <w:p w14:paraId="2D3EB404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Stability, consumer trust</w:t>
            </w:r>
          </w:p>
        </w:tc>
        <w:tc>
          <w:tcPr>
            <w:tcW w:w="0" w:type="auto"/>
            <w:vAlign w:val="center"/>
            <w:hideMark/>
          </w:tcPr>
          <w:p w14:paraId="598CD79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12–15% commission</w:t>
            </w:r>
          </w:p>
        </w:tc>
        <w:tc>
          <w:tcPr>
            <w:tcW w:w="0" w:type="auto"/>
            <w:vAlign w:val="center"/>
            <w:hideMark/>
          </w:tcPr>
          <w:p w14:paraId="0B37A96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GH₵ 6.50</w:t>
            </w:r>
          </w:p>
        </w:tc>
      </w:tr>
      <w:tr w:rsidR="00D67884" w:rsidRPr="00D67884" w14:paraId="7DACAF3F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248E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Events &amp; corporates</w:t>
            </w:r>
          </w:p>
        </w:tc>
        <w:tc>
          <w:tcPr>
            <w:tcW w:w="0" w:type="auto"/>
            <w:vAlign w:val="center"/>
            <w:hideMark/>
          </w:tcPr>
          <w:p w14:paraId="18529D68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Branded, bulk sales</w:t>
            </w:r>
          </w:p>
        </w:tc>
        <w:tc>
          <w:tcPr>
            <w:tcW w:w="0" w:type="auto"/>
            <w:vAlign w:val="center"/>
            <w:hideMark/>
          </w:tcPr>
          <w:p w14:paraId="346D651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0–5% or flat partner discount</w:t>
            </w:r>
          </w:p>
        </w:tc>
        <w:tc>
          <w:tcPr>
            <w:tcW w:w="0" w:type="auto"/>
            <w:vAlign w:val="center"/>
            <w:hideMark/>
          </w:tcPr>
          <w:p w14:paraId="63CAFF3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GH₵ 9.90+</w:t>
            </w:r>
          </w:p>
        </w:tc>
      </w:tr>
      <w:tr w:rsidR="00D67884" w:rsidRPr="00D67884" w14:paraId="31F53DBA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C09C8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Digital direct (Buzzjuice etc.)</w:t>
            </w:r>
          </w:p>
        </w:tc>
        <w:tc>
          <w:tcPr>
            <w:tcW w:w="0" w:type="auto"/>
            <w:vAlign w:val="center"/>
            <w:hideMark/>
          </w:tcPr>
          <w:p w14:paraId="02A02E4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Zero commission</w:t>
            </w:r>
          </w:p>
        </w:tc>
        <w:tc>
          <w:tcPr>
            <w:tcW w:w="0" w:type="auto"/>
            <w:vAlign w:val="center"/>
            <w:hideMark/>
          </w:tcPr>
          <w:p w14:paraId="561C0D7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0% commission</w:t>
            </w:r>
          </w:p>
        </w:tc>
        <w:tc>
          <w:tcPr>
            <w:tcW w:w="0" w:type="auto"/>
            <w:vAlign w:val="center"/>
            <w:hideMark/>
          </w:tcPr>
          <w:p w14:paraId="0D3E815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GH₵ 4.00–6.00 (digital twin or bundle)</w:t>
            </w:r>
          </w:p>
        </w:tc>
      </w:tr>
      <w:tr w:rsidR="00D67884" w:rsidRPr="00D67884" w14:paraId="75A6D21C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DCED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Institutional partners (schools, NGOs)</w:t>
            </w:r>
          </w:p>
        </w:tc>
        <w:tc>
          <w:tcPr>
            <w:tcW w:w="0" w:type="auto"/>
            <w:vAlign w:val="center"/>
            <w:hideMark/>
          </w:tcPr>
          <w:p w14:paraId="4C056992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Bulk + co-brand</w:t>
            </w:r>
          </w:p>
        </w:tc>
        <w:tc>
          <w:tcPr>
            <w:tcW w:w="0" w:type="auto"/>
            <w:vAlign w:val="center"/>
            <w:hideMark/>
          </w:tcPr>
          <w:p w14:paraId="06AFE0D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negotiated margin</w:t>
            </w:r>
          </w:p>
        </w:tc>
        <w:tc>
          <w:tcPr>
            <w:tcW w:w="0" w:type="auto"/>
            <w:vAlign w:val="center"/>
            <w:hideMark/>
          </w:tcPr>
          <w:p w14:paraId="2451EAB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Margins depend on volume</w:t>
            </w:r>
          </w:p>
        </w:tc>
      </w:tr>
    </w:tbl>
    <w:p w14:paraId="1BD775A2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5.2 Vendor Onboarding &amp; Control</w:t>
      </w:r>
    </w:p>
    <w:p w14:paraId="33C88C43" w14:textId="77777777" w:rsidR="00D67884" w:rsidRPr="00D67884" w:rsidRDefault="00D67884" w:rsidP="00D678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Issue cards in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numbered batches (batch_id)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to each vendor</w:t>
      </w:r>
    </w:p>
    <w:p w14:paraId="2FB9B9F6" w14:textId="77777777" w:rsidR="00D67884" w:rsidRPr="00D67884" w:rsidRDefault="00D67884" w:rsidP="00D678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Vendors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register via mobile/portal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to receive inventory</w:t>
      </w:r>
    </w:p>
    <w:p w14:paraId="031FE11F" w14:textId="77777777" w:rsidR="00D67884" w:rsidRPr="00D67884" w:rsidRDefault="00D67884" w:rsidP="00D678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Sales reconciliation: detachable stub or scanned code → vendor commission</w:t>
      </w:r>
    </w:p>
    <w:p w14:paraId="790C1210" w14:textId="77777777" w:rsidR="00D67884" w:rsidRPr="00D67884" w:rsidRDefault="00D67884" w:rsidP="00D678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lastRenderedPageBreak/>
        <w:t xml:space="preserve">Automated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mobile money payouts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based on verified sales</w:t>
      </w:r>
    </w:p>
    <w:p w14:paraId="5F1DEBAB" w14:textId="77777777" w:rsidR="00D67884" w:rsidRPr="00D67884" w:rsidRDefault="00D67884" w:rsidP="00D6788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Audit &amp; restocking triggers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system alerts when vendor inventory is low or slow</w:t>
      </w:r>
    </w:p>
    <w:p w14:paraId="19E6F9A2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5.3 Channel Rollout Plan</w:t>
      </w:r>
    </w:p>
    <w:p w14:paraId="4D036EA7" w14:textId="77777777" w:rsidR="00D67884" w:rsidRPr="00D67884" w:rsidRDefault="00D67884" w:rsidP="00D678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Pilot in 2–3 neighborhoods via street/mini vendors</w:t>
      </w:r>
    </w:p>
    <w:p w14:paraId="17B8DC5B" w14:textId="77777777" w:rsidR="00D67884" w:rsidRPr="00D67884" w:rsidRDefault="00D67884" w:rsidP="00D678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Expand to local retail shops with POS display units</w:t>
      </w:r>
    </w:p>
    <w:p w14:paraId="29EA40D0" w14:textId="77777777" w:rsidR="00D67884" w:rsidRPr="00D67884" w:rsidRDefault="00D67884" w:rsidP="00D678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Deploy in schools, youth clubs, community events (with themed editions)</w:t>
      </w:r>
    </w:p>
    <w:p w14:paraId="1AC5366B" w14:textId="77777777" w:rsidR="00D67884" w:rsidRPr="00D67884" w:rsidRDefault="00D67884" w:rsidP="00D678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Integrate with Koware-hosted events (use cards as tickets + souvenirs)</w:t>
      </w:r>
    </w:p>
    <w:p w14:paraId="1AC56BF5" w14:textId="77777777" w:rsidR="00D67884" w:rsidRPr="00D67884" w:rsidRDefault="00D67884" w:rsidP="00D6788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Promote digital direct sales (link in social media, WhatsApp groups)</w:t>
      </w:r>
    </w:p>
    <w:p w14:paraId="22CB5B9D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7"/>
          <w:szCs w:val="27"/>
          <w:lang w:val="en-GH"/>
        </w:rPr>
        <w:t>5.4 Distribution Controls &amp; Fraud Mitigation</w:t>
      </w:r>
    </w:p>
    <w:p w14:paraId="6E86660E" w14:textId="77777777" w:rsidR="00D67884" w:rsidRPr="00D67884" w:rsidRDefault="00D67884" w:rsidP="00D6788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Codes are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single-activation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, validated server-side</w:t>
      </w:r>
    </w:p>
    <w:p w14:paraId="350626FD" w14:textId="77777777" w:rsidR="00D67884" w:rsidRPr="00D67884" w:rsidRDefault="00D67884" w:rsidP="00D6788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Rate limits, CAPTCHAs, and IP monitoring on activation endpoint</w:t>
      </w:r>
    </w:p>
    <w:p w14:paraId="48129426" w14:textId="77777777" w:rsidR="00D67884" w:rsidRPr="00D67884" w:rsidRDefault="00D67884" w:rsidP="00D6788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Batch-level anomaly alerts (e.g. hundreds of same batch activations in minutes)</w:t>
      </w:r>
    </w:p>
    <w:p w14:paraId="0BCA4049" w14:textId="77777777" w:rsidR="00D67884" w:rsidRPr="00D67884" w:rsidRDefault="00D67884" w:rsidP="00D6788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Require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OTP or phone verification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(tie activation to phone)</w:t>
      </w:r>
    </w:p>
    <w:p w14:paraId="6910F91F" w14:textId="77777777" w:rsidR="00D67884" w:rsidRPr="00D67884" w:rsidRDefault="00D67884" w:rsidP="00D6788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Watermarks / QR + latent authenticity checks for premium editions</w:t>
      </w:r>
    </w:p>
    <w:p w14:paraId="4B321AD7" w14:textId="77777777" w:rsidR="00D67884" w:rsidRPr="00D67884" w:rsidRDefault="00D67884" w:rsidP="00D6788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Disallow reuse or cloning by tying code → user record</w:t>
      </w:r>
    </w:p>
    <w:p w14:paraId="5C3C7841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00209871">
          <v:rect id="_x0000_i1238" style="width:0;height:1.5pt" o:hralign="center" o:hrstd="t" o:hr="t" fillcolor="#a0a0a0" stroked="f"/>
        </w:pict>
      </w:r>
    </w:p>
    <w:p w14:paraId="16DE40C3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6. Customer Journey / Activation Flow</w:t>
      </w:r>
    </w:p>
    <w:p w14:paraId="676748F0" w14:textId="77777777" w:rsidR="00D67884" w:rsidRPr="00D67884" w:rsidRDefault="00D67884" w:rsidP="00D678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Purchase / Receive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card (physical or digital twin)</w:t>
      </w:r>
    </w:p>
    <w:p w14:paraId="0065FFB3" w14:textId="77777777" w:rsidR="00D67884" w:rsidRPr="00D67884" w:rsidRDefault="00D67884" w:rsidP="00D678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Scratch &amp; scan QR / enter shortlink</w:t>
      </w:r>
    </w:p>
    <w:p w14:paraId="640F27B4" w14:textId="77777777" w:rsidR="00D67884" w:rsidRPr="00D67884" w:rsidRDefault="00D67884" w:rsidP="00D678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Activation page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enter unique code → phone/email → confirm</w:t>
      </w:r>
    </w:p>
    <w:p w14:paraId="34730EA4" w14:textId="77777777" w:rsidR="00D67884" w:rsidRPr="00D67884" w:rsidRDefault="00D67884" w:rsidP="00D678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Optional survey (2–3 questions)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→ collect microdata</w:t>
      </w:r>
    </w:p>
    <w:p w14:paraId="3D05812B" w14:textId="77777777" w:rsidR="00D67884" w:rsidRPr="00D67884" w:rsidRDefault="00D67884" w:rsidP="00D678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Points awarded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+ raffle entry + referral link displayed</w:t>
      </w:r>
    </w:p>
    <w:p w14:paraId="1739356D" w14:textId="77777777" w:rsidR="00D67884" w:rsidRPr="00D67884" w:rsidRDefault="00D67884" w:rsidP="00D678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Thank-you / confirmation page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“Share, redeem, view leaderboard”</w:t>
      </w:r>
    </w:p>
    <w:p w14:paraId="08C3522B" w14:textId="77777777" w:rsidR="00D67884" w:rsidRPr="00D67884" w:rsidRDefault="00D67884" w:rsidP="00D6788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Dashboard / loyalty page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user can track points, view prizes, refer others</w:t>
      </w:r>
    </w:p>
    <w:p w14:paraId="4833FE9B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Ensure minimal friction — the fewer steps, the better. The step “survey” should be optional or micro.</w:t>
      </w:r>
    </w:p>
    <w:p w14:paraId="0DBB68FD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7D84DD72">
          <v:rect id="_x0000_i1239" style="width:0;height:1.5pt" o:hralign="center" o:hrstd="t" o:hr="t" fillcolor="#a0a0a0" stroked="f"/>
        </w:pict>
      </w:r>
    </w:p>
    <w:p w14:paraId="69B75BDE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7. KPIs &amp; Pilot Targets (Koware-Specific)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1"/>
        <w:gridCol w:w="3118"/>
        <w:gridCol w:w="1347"/>
        <w:gridCol w:w="2108"/>
      </w:tblGrid>
      <w:tr w:rsidR="00D67884" w:rsidRPr="00D67884" w14:paraId="0C28548B" w14:textId="77777777" w:rsidTr="00D678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C4910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B9BB67E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Pilot Target</w:t>
            </w:r>
          </w:p>
        </w:tc>
        <w:tc>
          <w:tcPr>
            <w:tcW w:w="0" w:type="auto"/>
            <w:vAlign w:val="center"/>
            <w:hideMark/>
          </w:tcPr>
          <w:p w14:paraId="3FB4C4C8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Scale Target</w:t>
            </w:r>
          </w:p>
        </w:tc>
        <w:tc>
          <w:tcPr>
            <w:tcW w:w="0" w:type="auto"/>
            <w:vAlign w:val="center"/>
            <w:hideMark/>
          </w:tcPr>
          <w:p w14:paraId="14EE11AA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Purpose</w:t>
            </w:r>
          </w:p>
        </w:tc>
      </w:tr>
      <w:tr w:rsidR="00D67884" w:rsidRPr="00D67884" w14:paraId="56DD09D4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00B4D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Sell-through (pilot)</w:t>
            </w:r>
          </w:p>
        </w:tc>
        <w:tc>
          <w:tcPr>
            <w:tcW w:w="0" w:type="auto"/>
            <w:vAlign w:val="center"/>
            <w:hideMark/>
          </w:tcPr>
          <w:p w14:paraId="6DFE424A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≥ 80% within 14 days</w:t>
            </w:r>
          </w:p>
        </w:tc>
        <w:tc>
          <w:tcPr>
            <w:tcW w:w="0" w:type="auto"/>
            <w:vAlign w:val="center"/>
            <w:hideMark/>
          </w:tcPr>
          <w:p w14:paraId="4E420F5D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≥ 90%</w:t>
            </w:r>
          </w:p>
        </w:tc>
        <w:tc>
          <w:tcPr>
            <w:tcW w:w="0" w:type="auto"/>
            <w:vAlign w:val="center"/>
            <w:hideMark/>
          </w:tcPr>
          <w:p w14:paraId="575444B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Market acceptance</w:t>
            </w:r>
          </w:p>
        </w:tc>
      </w:tr>
      <w:tr w:rsidR="00D67884" w:rsidRPr="00D67884" w14:paraId="1030048F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EF2B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Activation rate</w:t>
            </w:r>
          </w:p>
        </w:tc>
        <w:tc>
          <w:tcPr>
            <w:tcW w:w="0" w:type="auto"/>
            <w:vAlign w:val="center"/>
            <w:hideMark/>
          </w:tcPr>
          <w:p w14:paraId="364140A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≥ 55%</w:t>
            </w:r>
          </w:p>
        </w:tc>
        <w:tc>
          <w:tcPr>
            <w:tcW w:w="0" w:type="auto"/>
            <w:vAlign w:val="center"/>
            <w:hideMark/>
          </w:tcPr>
          <w:p w14:paraId="0059092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≥ 60%</w:t>
            </w:r>
          </w:p>
        </w:tc>
        <w:tc>
          <w:tcPr>
            <w:tcW w:w="0" w:type="auto"/>
            <w:vAlign w:val="center"/>
            <w:hideMark/>
          </w:tcPr>
          <w:p w14:paraId="72C1CF0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Engagement strength</w:t>
            </w:r>
          </w:p>
        </w:tc>
      </w:tr>
      <w:tr w:rsidR="00D67884" w:rsidRPr="00D67884" w14:paraId="2F5922F5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B88B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Survey completion rate</w:t>
            </w:r>
          </w:p>
        </w:tc>
        <w:tc>
          <w:tcPr>
            <w:tcW w:w="0" w:type="auto"/>
            <w:vAlign w:val="center"/>
            <w:hideMark/>
          </w:tcPr>
          <w:p w14:paraId="2A279E42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30–45%</w:t>
            </w:r>
          </w:p>
        </w:tc>
        <w:tc>
          <w:tcPr>
            <w:tcW w:w="0" w:type="auto"/>
            <w:vAlign w:val="center"/>
            <w:hideMark/>
          </w:tcPr>
          <w:p w14:paraId="4CEF070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40–60%</w:t>
            </w:r>
          </w:p>
        </w:tc>
        <w:tc>
          <w:tcPr>
            <w:tcW w:w="0" w:type="auto"/>
            <w:vAlign w:val="center"/>
            <w:hideMark/>
          </w:tcPr>
          <w:p w14:paraId="08EE0C43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Data yield</w:t>
            </w:r>
          </w:p>
        </w:tc>
      </w:tr>
      <w:tr w:rsidR="00D67884" w:rsidRPr="00D67884" w14:paraId="3F983A14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EE8D3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Referral adoption</w:t>
            </w:r>
          </w:p>
        </w:tc>
        <w:tc>
          <w:tcPr>
            <w:tcW w:w="0" w:type="auto"/>
            <w:vAlign w:val="center"/>
            <w:hideMark/>
          </w:tcPr>
          <w:p w14:paraId="305695A2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≥ 15%</w:t>
            </w:r>
          </w:p>
        </w:tc>
        <w:tc>
          <w:tcPr>
            <w:tcW w:w="0" w:type="auto"/>
            <w:vAlign w:val="center"/>
            <w:hideMark/>
          </w:tcPr>
          <w:p w14:paraId="04B73D6C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≥ 25%</w:t>
            </w:r>
          </w:p>
        </w:tc>
        <w:tc>
          <w:tcPr>
            <w:tcW w:w="0" w:type="auto"/>
            <w:vAlign w:val="center"/>
            <w:hideMark/>
          </w:tcPr>
          <w:p w14:paraId="04BC1C59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Viral growth</w:t>
            </w:r>
          </w:p>
        </w:tc>
      </w:tr>
      <w:tr w:rsidR="00D67884" w:rsidRPr="00D67884" w14:paraId="4540AF4F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8F08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Net profit per card</w:t>
            </w:r>
          </w:p>
        </w:tc>
        <w:tc>
          <w:tcPr>
            <w:tcW w:w="0" w:type="auto"/>
            <w:vAlign w:val="center"/>
            <w:hideMark/>
          </w:tcPr>
          <w:p w14:paraId="622F332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≥ GH₵ 3.00 (after commission)</w:t>
            </w:r>
          </w:p>
        </w:tc>
        <w:tc>
          <w:tcPr>
            <w:tcW w:w="0" w:type="auto"/>
            <w:vAlign w:val="center"/>
            <w:hideMark/>
          </w:tcPr>
          <w:p w14:paraId="47CADC33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≥ GH₵ 3.50</w:t>
            </w:r>
          </w:p>
        </w:tc>
        <w:tc>
          <w:tcPr>
            <w:tcW w:w="0" w:type="auto"/>
            <w:vAlign w:val="center"/>
            <w:hideMark/>
          </w:tcPr>
          <w:p w14:paraId="4C6E79BA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Sustainable margin</w:t>
            </w:r>
          </w:p>
        </w:tc>
      </w:tr>
      <w:tr w:rsidR="00D67884" w:rsidRPr="00D67884" w14:paraId="137BAB18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24243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Repeat purchase (3 mo)</w:t>
            </w:r>
          </w:p>
        </w:tc>
        <w:tc>
          <w:tcPr>
            <w:tcW w:w="0" w:type="auto"/>
            <w:vAlign w:val="center"/>
            <w:hideMark/>
          </w:tcPr>
          <w:p w14:paraId="4F04F90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8–12%</w:t>
            </w:r>
          </w:p>
        </w:tc>
        <w:tc>
          <w:tcPr>
            <w:tcW w:w="0" w:type="auto"/>
            <w:vAlign w:val="center"/>
            <w:hideMark/>
          </w:tcPr>
          <w:p w14:paraId="0CD16E1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20–35%</w:t>
            </w:r>
          </w:p>
        </w:tc>
        <w:tc>
          <w:tcPr>
            <w:tcW w:w="0" w:type="auto"/>
            <w:vAlign w:val="center"/>
            <w:hideMark/>
          </w:tcPr>
          <w:p w14:paraId="597909D9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Retention &amp; loyalty</w:t>
            </w:r>
          </w:p>
        </w:tc>
      </w:tr>
      <w:tr w:rsidR="00D67884" w:rsidRPr="00D67884" w14:paraId="1D78AAFB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F625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Fraud rate</w:t>
            </w:r>
          </w:p>
        </w:tc>
        <w:tc>
          <w:tcPr>
            <w:tcW w:w="0" w:type="auto"/>
            <w:vAlign w:val="center"/>
            <w:hideMark/>
          </w:tcPr>
          <w:p w14:paraId="084CFE1A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&lt; 0.5%</w:t>
            </w:r>
          </w:p>
        </w:tc>
        <w:tc>
          <w:tcPr>
            <w:tcW w:w="0" w:type="auto"/>
            <w:vAlign w:val="center"/>
            <w:hideMark/>
          </w:tcPr>
          <w:p w14:paraId="0CBCD209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&lt; 0.3%</w:t>
            </w:r>
          </w:p>
        </w:tc>
        <w:tc>
          <w:tcPr>
            <w:tcW w:w="0" w:type="auto"/>
            <w:vAlign w:val="center"/>
            <w:hideMark/>
          </w:tcPr>
          <w:p w14:paraId="42D26BA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Security &amp; trust</w:t>
            </w:r>
          </w:p>
        </w:tc>
      </w:tr>
    </w:tbl>
    <w:p w14:paraId="39441356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lastRenderedPageBreak/>
        <w:t>Track metrics daily during pilot, weekly during scale.</w:t>
      </w:r>
    </w:p>
    <w:p w14:paraId="03A68DE8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6D3059AC">
          <v:rect id="_x0000_i1240" style="width:0;height:1.5pt" o:hralign="center" o:hrstd="t" o:hr="t" fillcolor="#a0a0a0" stroked="f"/>
        </w:pict>
      </w:r>
    </w:p>
    <w:p w14:paraId="279EB195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8. AB Testing &amp; Learning Experiments</w:t>
      </w:r>
    </w:p>
    <w:p w14:paraId="0E0F72BB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Design these tests during pilot phase: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1586"/>
        <w:gridCol w:w="1866"/>
        <w:gridCol w:w="3504"/>
      </w:tblGrid>
      <w:tr w:rsidR="00D67884" w:rsidRPr="00D67884" w14:paraId="3410772F" w14:textId="77777777" w:rsidTr="00D678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B11BFF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028BB1A0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Variant A</w:t>
            </w:r>
          </w:p>
        </w:tc>
        <w:tc>
          <w:tcPr>
            <w:tcW w:w="0" w:type="auto"/>
            <w:vAlign w:val="center"/>
            <w:hideMark/>
          </w:tcPr>
          <w:p w14:paraId="4429EC24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Variant B</w:t>
            </w:r>
          </w:p>
        </w:tc>
        <w:tc>
          <w:tcPr>
            <w:tcW w:w="0" w:type="auto"/>
            <w:vAlign w:val="center"/>
            <w:hideMark/>
          </w:tcPr>
          <w:p w14:paraId="17550794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Hypothesis / Metric</w:t>
            </w:r>
          </w:p>
        </w:tc>
      </w:tr>
      <w:tr w:rsidR="00D67884" w:rsidRPr="00D67884" w14:paraId="28CA44A3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055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Price sensitivity</w:t>
            </w:r>
          </w:p>
        </w:tc>
        <w:tc>
          <w:tcPr>
            <w:tcW w:w="0" w:type="auto"/>
            <w:vAlign w:val="center"/>
            <w:hideMark/>
          </w:tcPr>
          <w:p w14:paraId="330DB39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GH₵ 4.90</w:t>
            </w:r>
          </w:p>
        </w:tc>
        <w:tc>
          <w:tcPr>
            <w:tcW w:w="0" w:type="auto"/>
            <w:vAlign w:val="center"/>
            <w:hideMark/>
          </w:tcPr>
          <w:p w14:paraId="2FAF867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GH₵ 6.50</w:t>
            </w:r>
          </w:p>
        </w:tc>
        <w:tc>
          <w:tcPr>
            <w:tcW w:w="0" w:type="auto"/>
            <w:vAlign w:val="center"/>
            <w:hideMark/>
          </w:tcPr>
          <w:p w14:paraId="7BC7530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Which price sells more &amp; yields higher net profit</w:t>
            </w:r>
          </w:p>
        </w:tc>
      </w:tr>
      <w:tr w:rsidR="00D67884" w:rsidRPr="00D67884" w14:paraId="11E7D175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7E12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Incentive type</w:t>
            </w:r>
          </w:p>
        </w:tc>
        <w:tc>
          <w:tcPr>
            <w:tcW w:w="0" w:type="auto"/>
            <w:vAlign w:val="center"/>
            <w:hideMark/>
          </w:tcPr>
          <w:p w14:paraId="13448682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Instant scratch prize</w:t>
            </w:r>
          </w:p>
        </w:tc>
        <w:tc>
          <w:tcPr>
            <w:tcW w:w="0" w:type="auto"/>
            <w:vAlign w:val="center"/>
            <w:hideMark/>
          </w:tcPr>
          <w:p w14:paraId="46E8E2B2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Points-for-survey</w:t>
            </w:r>
          </w:p>
        </w:tc>
        <w:tc>
          <w:tcPr>
            <w:tcW w:w="0" w:type="auto"/>
            <w:vAlign w:val="center"/>
            <w:hideMark/>
          </w:tcPr>
          <w:p w14:paraId="6F4DACB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Which produces more activation &amp; repeat purchases</w:t>
            </w:r>
          </w:p>
        </w:tc>
      </w:tr>
      <w:tr w:rsidR="00D67884" w:rsidRPr="00D67884" w14:paraId="30ACB564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B3B6A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Distribution channel</w:t>
            </w:r>
          </w:p>
        </w:tc>
        <w:tc>
          <w:tcPr>
            <w:tcW w:w="0" w:type="auto"/>
            <w:vAlign w:val="center"/>
            <w:hideMark/>
          </w:tcPr>
          <w:p w14:paraId="1803170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Street vendors</w:t>
            </w:r>
          </w:p>
        </w:tc>
        <w:tc>
          <w:tcPr>
            <w:tcW w:w="0" w:type="auto"/>
            <w:vAlign w:val="center"/>
            <w:hideMark/>
          </w:tcPr>
          <w:p w14:paraId="4997CA0D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Retail kiosks</w:t>
            </w:r>
          </w:p>
        </w:tc>
        <w:tc>
          <w:tcPr>
            <w:tcW w:w="0" w:type="auto"/>
            <w:vAlign w:val="center"/>
            <w:hideMark/>
          </w:tcPr>
          <w:p w14:paraId="5F2F3262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Which channel has better activation &amp; margin</w:t>
            </w:r>
          </w:p>
        </w:tc>
      </w:tr>
      <w:tr w:rsidR="00D67884" w:rsidRPr="00D67884" w14:paraId="317C4614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7845C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Survey vs no survey</w:t>
            </w:r>
          </w:p>
        </w:tc>
        <w:tc>
          <w:tcPr>
            <w:tcW w:w="0" w:type="auto"/>
            <w:vAlign w:val="center"/>
            <w:hideMark/>
          </w:tcPr>
          <w:p w14:paraId="575D9EC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Survey in activation</w:t>
            </w:r>
          </w:p>
        </w:tc>
        <w:tc>
          <w:tcPr>
            <w:tcW w:w="0" w:type="auto"/>
            <w:vAlign w:val="center"/>
            <w:hideMark/>
          </w:tcPr>
          <w:p w14:paraId="3DA02A28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Skip survey (later ask)</w:t>
            </w:r>
          </w:p>
        </w:tc>
        <w:tc>
          <w:tcPr>
            <w:tcW w:w="0" w:type="auto"/>
            <w:vAlign w:val="center"/>
            <w:hideMark/>
          </w:tcPr>
          <w:p w14:paraId="447E046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Does survey reduce conversion?</w:t>
            </w:r>
          </w:p>
        </w:tc>
      </w:tr>
      <w:tr w:rsidR="00D67884" w:rsidRPr="00D67884" w14:paraId="5A2BDE44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93281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Referral reward magnitude</w:t>
            </w:r>
          </w:p>
        </w:tc>
        <w:tc>
          <w:tcPr>
            <w:tcW w:w="0" w:type="auto"/>
            <w:vAlign w:val="center"/>
            <w:hideMark/>
          </w:tcPr>
          <w:p w14:paraId="1B332C0C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Small rewards</w:t>
            </w:r>
          </w:p>
        </w:tc>
        <w:tc>
          <w:tcPr>
            <w:tcW w:w="0" w:type="auto"/>
            <w:vAlign w:val="center"/>
            <w:hideMark/>
          </w:tcPr>
          <w:p w14:paraId="152D9025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Bigger rewards (but rarer)</w:t>
            </w:r>
          </w:p>
        </w:tc>
        <w:tc>
          <w:tcPr>
            <w:tcW w:w="0" w:type="auto"/>
            <w:vAlign w:val="center"/>
            <w:hideMark/>
          </w:tcPr>
          <w:p w14:paraId="0FFF8F5F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Which yields more referrals</w:t>
            </w:r>
          </w:p>
        </w:tc>
      </w:tr>
    </w:tbl>
    <w:p w14:paraId="5FFABDBA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Use statistically significant samples before concluding.</w:t>
      </w:r>
    </w:p>
    <w:p w14:paraId="314D7F68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72ECFC10">
          <v:rect id="_x0000_i1241" style="width:0;height:1.5pt" o:hralign="center" o:hrstd="t" o:hr="t" fillcolor="#a0a0a0" stroked="f"/>
        </w:pict>
      </w:r>
    </w:p>
    <w:p w14:paraId="051D95C5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9. Implementation Roadmap (Koware Tailored)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8"/>
        <w:gridCol w:w="1177"/>
        <w:gridCol w:w="5294"/>
      </w:tblGrid>
      <w:tr w:rsidR="00D67884" w:rsidRPr="00D67884" w14:paraId="553A5101" w14:textId="77777777" w:rsidTr="00D678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076A00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467A6E1F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61DF7938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Key Deliverables</w:t>
            </w:r>
          </w:p>
        </w:tc>
      </w:tr>
      <w:tr w:rsidR="00D67884" w:rsidRPr="00D67884" w14:paraId="52DED5EE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2704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Phase 0 – Design &amp; Infrastructure</w:t>
            </w:r>
          </w:p>
        </w:tc>
        <w:tc>
          <w:tcPr>
            <w:tcW w:w="0" w:type="auto"/>
            <w:vAlign w:val="center"/>
            <w:hideMark/>
          </w:tcPr>
          <w:p w14:paraId="44DA1043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0–30 days</w:t>
            </w:r>
          </w:p>
        </w:tc>
        <w:tc>
          <w:tcPr>
            <w:tcW w:w="0" w:type="auto"/>
            <w:vAlign w:val="center"/>
            <w:hideMark/>
          </w:tcPr>
          <w:p w14:paraId="7CAEA43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Finalize A7 templates, branding, artwork; set up activation API &amp; database; code generation scripts</w:t>
            </w:r>
          </w:p>
        </w:tc>
      </w:tr>
      <w:tr w:rsidR="00D67884" w:rsidRPr="00D67884" w14:paraId="02E530BA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E05B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Phase 1 – Pilot Rollout</w:t>
            </w:r>
          </w:p>
        </w:tc>
        <w:tc>
          <w:tcPr>
            <w:tcW w:w="0" w:type="auto"/>
            <w:vAlign w:val="center"/>
            <w:hideMark/>
          </w:tcPr>
          <w:p w14:paraId="2DC8D52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30–60 days</w:t>
            </w:r>
          </w:p>
        </w:tc>
        <w:tc>
          <w:tcPr>
            <w:tcW w:w="0" w:type="auto"/>
            <w:vAlign w:val="center"/>
            <w:hideMark/>
          </w:tcPr>
          <w:p w14:paraId="0CA7228D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Print 1,000–5,000 cards in several editions; distribute across 3 channels; monitor KPIs; run AB tests</w:t>
            </w:r>
          </w:p>
        </w:tc>
      </w:tr>
      <w:tr w:rsidR="00D67884" w:rsidRPr="00D67884" w14:paraId="6182A318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AF735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Phase 2 – Scale &amp; Vendor System</w:t>
            </w:r>
          </w:p>
        </w:tc>
        <w:tc>
          <w:tcPr>
            <w:tcW w:w="0" w:type="auto"/>
            <w:vAlign w:val="center"/>
            <w:hideMark/>
          </w:tcPr>
          <w:p w14:paraId="473A8978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60–120 days</w:t>
            </w:r>
          </w:p>
        </w:tc>
        <w:tc>
          <w:tcPr>
            <w:tcW w:w="0" w:type="auto"/>
            <w:vAlign w:val="center"/>
            <w:hideMark/>
          </w:tcPr>
          <w:p w14:paraId="2BB88993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Build vendor portal/app, commission payouts, dashboards; grow vendor network; iterate design</w:t>
            </w:r>
          </w:p>
        </w:tc>
      </w:tr>
      <w:tr w:rsidR="00D67884" w:rsidRPr="00D67884" w14:paraId="6D4083B0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7AFA0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Phase 3 – Partnerships &amp; Premiums</w:t>
            </w:r>
          </w:p>
        </w:tc>
        <w:tc>
          <w:tcPr>
            <w:tcW w:w="0" w:type="auto"/>
            <w:vAlign w:val="center"/>
            <w:hideMark/>
          </w:tcPr>
          <w:p w14:paraId="00D97A2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120–180 days</w:t>
            </w:r>
          </w:p>
        </w:tc>
        <w:tc>
          <w:tcPr>
            <w:tcW w:w="0" w:type="auto"/>
            <w:vAlign w:val="center"/>
            <w:hideMark/>
          </w:tcPr>
          <w:p w14:paraId="322FC25F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Introduce premium / AR / NFC editions; partner with institutions &amp; events; expand digital twin reach</w:t>
            </w:r>
          </w:p>
        </w:tc>
      </w:tr>
      <w:tr w:rsidR="00D67884" w:rsidRPr="00D67884" w14:paraId="73DBE6C6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8DFB9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Phase 4 – Optimization</w:t>
            </w:r>
          </w:p>
        </w:tc>
        <w:tc>
          <w:tcPr>
            <w:tcW w:w="0" w:type="auto"/>
            <w:vAlign w:val="center"/>
            <w:hideMark/>
          </w:tcPr>
          <w:p w14:paraId="727BAA4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180+ days</w:t>
            </w:r>
          </w:p>
        </w:tc>
        <w:tc>
          <w:tcPr>
            <w:tcW w:w="0" w:type="auto"/>
            <w:vAlign w:val="center"/>
            <w:hideMark/>
          </w:tcPr>
          <w:p w14:paraId="0D40391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Refine fraud systems, personalization, subscription tie-ins, advanced analytics</w:t>
            </w:r>
          </w:p>
        </w:tc>
      </w:tr>
    </w:tbl>
    <w:p w14:paraId="56312095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088EF743">
          <v:rect id="_x0000_i1242" style="width:0;height:1.5pt" o:hralign="center" o:hrstd="t" o:hr="t" fillcolor="#a0a0a0" stroked="f"/>
        </w:pict>
      </w:r>
    </w:p>
    <w:p w14:paraId="35BBC846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10. Risks &amp; Mitigation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  <w:gridCol w:w="6085"/>
      </w:tblGrid>
      <w:tr w:rsidR="00D67884" w:rsidRPr="00D67884" w14:paraId="0482321D" w14:textId="77777777" w:rsidTr="00D678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FEFE97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7479ECE6" w14:textId="77777777" w:rsidR="00D67884" w:rsidRPr="00D67884" w:rsidRDefault="00D67884" w:rsidP="00D678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H"/>
              </w:rPr>
              <w:t>Mitigation Strategy</w:t>
            </w:r>
          </w:p>
        </w:tc>
      </w:tr>
      <w:tr w:rsidR="00D67884" w:rsidRPr="00D67884" w14:paraId="0BC553D3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92E12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Fraud / mass activations</w:t>
            </w:r>
          </w:p>
        </w:tc>
        <w:tc>
          <w:tcPr>
            <w:tcW w:w="0" w:type="auto"/>
            <w:vAlign w:val="center"/>
            <w:hideMark/>
          </w:tcPr>
          <w:p w14:paraId="6DF93078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Single-use codes, OTP tie, anomaly alerts, batch limits</w:t>
            </w:r>
          </w:p>
        </w:tc>
      </w:tr>
      <w:tr w:rsidR="00D67884" w:rsidRPr="00D67884" w14:paraId="0545DF98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D6C3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Print quality / QR readability</w:t>
            </w:r>
          </w:p>
        </w:tc>
        <w:tc>
          <w:tcPr>
            <w:tcW w:w="0" w:type="auto"/>
            <w:vAlign w:val="center"/>
            <w:hideMark/>
          </w:tcPr>
          <w:p w14:paraId="659E4EE7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Proof runs, QR testing, margin safety zone, minimum QR size</w:t>
            </w:r>
          </w:p>
        </w:tc>
      </w:tr>
      <w:tr w:rsidR="00D67884" w:rsidRPr="00D67884" w14:paraId="392260A6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F7E5E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lastRenderedPageBreak/>
              <w:t>Low conversion after purchase</w:t>
            </w:r>
          </w:p>
        </w:tc>
        <w:tc>
          <w:tcPr>
            <w:tcW w:w="0" w:type="auto"/>
            <w:vAlign w:val="center"/>
            <w:hideMark/>
          </w:tcPr>
          <w:p w14:paraId="55BFC62C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Simplify activation, make incentives strong, minimal friction</w:t>
            </w:r>
          </w:p>
        </w:tc>
      </w:tr>
      <w:tr w:rsidR="00D67884" w:rsidRPr="00D67884" w14:paraId="51E664F3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291E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Vendor fraud / leakage</w:t>
            </w:r>
          </w:p>
        </w:tc>
        <w:tc>
          <w:tcPr>
            <w:tcW w:w="0" w:type="auto"/>
            <w:vAlign w:val="center"/>
            <w:hideMark/>
          </w:tcPr>
          <w:p w14:paraId="6D041D56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Batch IDs, watermarks, vendor registration, audits</w:t>
            </w:r>
          </w:p>
        </w:tc>
      </w:tr>
      <w:tr w:rsidR="00D67884" w:rsidRPr="00D67884" w14:paraId="52D37F71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B019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Overestimating demand</w:t>
            </w:r>
          </w:p>
        </w:tc>
        <w:tc>
          <w:tcPr>
            <w:tcW w:w="0" w:type="auto"/>
            <w:vAlign w:val="center"/>
            <w:hideMark/>
          </w:tcPr>
          <w:p w14:paraId="515F5F2F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Start with small pilot; build adaptability into rollout</w:t>
            </w:r>
          </w:p>
        </w:tc>
      </w:tr>
      <w:tr w:rsidR="00D67884" w:rsidRPr="00D67884" w14:paraId="46F572D7" w14:textId="77777777" w:rsidTr="00D678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CE513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Privacy / data concerns</w:t>
            </w:r>
          </w:p>
        </w:tc>
        <w:tc>
          <w:tcPr>
            <w:tcW w:w="0" w:type="auto"/>
            <w:vAlign w:val="center"/>
            <w:hideMark/>
          </w:tcPr>
          <w:p w14:paraId="4D7CC745" w14:textId="77777777" w:rsidR="00D67884" w:rsidRPr="00D67884" w:rsidRDefault="00D67884" w:rsidP="00D6788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</w:pPr>
            <w:r w:rsidRPr="00D67884">
              <w:rPr>
                <w:rFonts w:ascii="Times New Roman" w:eastAsia="Times New Roman" w:hAnsi="Times New Roman" w:cs="Times New Roman"/>
                <w:sz w:val="24"/>
                <w:szCs w:val="24"/>
                <w:lang w:val="en-GH"/>
              </w:rPr>
              <w:t>Collect minimal PII, provide opt-out, secure storage, transparency</w:t>
            </w:r>
          </w:p>
        </w:tc>
      </w:tr>
    </w:tbl>
    <w:p w14:paraId="5143749A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6FB08C25">
          <v:rect id="_x0000_i1243" style="width:0;height:1.5pt" o:hralign="center" o:hrstd="t" o:hr="t" fillcolor="#a0a0a0" stroked="f"/>
        </w:pict>
      </w:r>
    </w:p>
    <w:p w14:paraId="23DD1143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11. Koware Departmental Responsibility Summary</w:t>
      </w:r>
    </w:p>
    <w:p w14:paraId="72EBFE98" w14:textId="77777777" w:rsidR="00D67884" w:rsidRPr="00D67884" w:rsidRDefault="00D67884" w:rsidP="00D678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Administration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Vendor contracts, commission payments, regulatory compliance</w:t>
      </w:r>
    </w:p>
    <w:p w14:paraId="62930374" w14:textId="77777777" w:rsidR="00D67884" w:rsidRPr="00D67884" w:rsidRDefault="00D67884" w:rsidP="00D678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Media &amp; Studio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Design, branded visuals, content (articles, riddles, AR)</w:t>
      </w:r>
    </w:p>
    <w:p w14:paraId="3CF86B42" w14:textId="77777777" w:rsidR="00D67884" w:rsidRPr="00D67884" w:rsidRDefault="00D67884" w:rsidP="00D678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R&amp;D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Gamification logic, survey design, data analytics</w:t>
      </w:r>
    </w:p>
    <w:p w14:paraId="21378EF5" w14:textId="77777777" w:rsidR="00D67884" w:rsidRPr="00D67884" w:rsidRDefault="00D67884" w:rsidP="00D678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Production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Printing, finishing, batch control, warehousing</w:t>
      </w:r>
    </w:p>
    <w:p w14:paraId="6B740785" w14:textId="77777777" w:rsidR="00D67884" w:rsidRPr="00D67884" w:rsidRDefault="00D67884" w:rsidP="00D6788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Marketing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: Vendor recruitment, launch campaigns, social sharing, co-branding</w:t>
      </w:r>
    </w:p>
    <w:p w14:paraId="5D517433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Each department should map its deliverables per phase and maintain cross-department communication (e.g. R&amp;D gives content to Media, which passes to Production, while Marketing readies rollouts).</w:t>
      </w:r>
    </w:p>
    <w:p w14:paraId="18E39E2C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62FD5A3B">
          <v:rect id="_x0000_i1244" style="width:0;height:1.5pt" o:hralign="center" o:hrstd="t" o:hr="t" fillcolor="#a0a0a0" stroked="f"/>
        </w:pict>
      </w:r>
    </w:p>
    <w:p w14:paraId="6F37C90F" w14:textId="77777777" w:rsidR="00D67884" w:rsidRPr="00D67884" w:rsidRDefault="00D67884" w:rsidP="00D67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36"/>
          <w:szCs w:val="36"/>
          <w:lang w:val="en-GH"/>
        </w:rPr>
        <w:t>12. Next Steps (Immediate Actions)</w:t>
      </w:r>
    </w:p>
    <w:p w14:paraId="4A2944CD" w14:textId="77777777" w:rsidR="00D67884" w:rsidRPr="00D67884" w:rsidRDefault="00D67884" w:rsidP="00D678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Approve strategic document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and commit to repo as </w:t>
      </w:r>
      <w:r w:rsidRPr="00D67884">
        <w:rPr>
          <w:rFonts w:ascii="Courier New" w:eastAsia="Times New Roman" w:hAnsi="Courier New" w:cs="Courier New"/>
          <w:sz w:val="20"/>
          <w:szCs w:val="20"/>
          <w:lang w:val="en-GH"/>
        </w:rPr>
        <w:t>service-card-strategic-plan.md</w:t>
      </w:r>
    </w:p>
    <w:p w14:paraId="2C414C28" w14:textId="77777777" w:rsidR="00D67884" w:rsidRPr="00D67884" w:rsidRDefault="00D67884" w:rsidP="00D678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Request print-ready dielines (PDF)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— need art assets, exact final trimmed A7 specs</w:t>
      </w:r>
    </w:p>
    <w:p w14:paraId="601372A5" w14:textId="77777777" w:rsidR="00D67884" w:rsidRPr="00D67884" w:rsidRDefault="00D67884" w:rsidP="00D678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Draft minimal Activation API spec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(endpoints, validation, code generation)</w:t>
      </w:r>
    </w:p>
    <w:p w14:paraId="65221528" w14:textId="77777777" w:rsidR="00D67884" w:rsidRPr="00D67884" w:rsidRDefault="00D67884" w:rsidP="00D678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Assemble pilot pack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(1,000–5,000 mixed-envisioned cards)</w:t>
      </w:r>
    </w:p>
    <w:p w14:paraId="67928AFA" w14:textId="77777777" w:rsidR="00D67884" w:rsidRPr="00D67884" w:rsidRDefault="00D67884" w:rsidP="00D678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Select target pilot regions / vendor clusters</w:t>
      </w:r>
    </w:p>
    <w:p w14:paraId="7BEA84CA" w14:textId="77777777" w:rsidR="00D67884" w:rsidRPr="00D67884" w:rsidRDefault="00D67884" w:rsidP="00D678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Set up dashboards &amp; metrics tracking infrastructure</w:t>
      </w:r>
    </w:p>
    <w:p w14:paraId="6EF52FC4" w14:textId="77777777" w:rsidR="00D67884" w:rsidRPr="00D67884" w:rsidRDefault="00D67884" w:rsidP="00D6788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Plan marketing &amp; launch teaser campaign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(social media, local posters, influencer shoutouts)</w:t>
      </w:r>
    </w:p>
    <w:p w14:paraId="4F36721B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>Once the pilot is live, monitor daily, apply AB tests, and iterate designs and distribution strategies.</w:t>
      </w:r>
    </w:p>
    <w:p w14:paraId="76C4520B" w14:textId="77777777" w:rsidR="00D67884" w:rsidRPr="00D67884" w:rsidRDefault="00D67884" w:rsidP="00D6788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pict w14:anchorId="2C7B6DC4">
          <v:rect id="_x0000_i1245" style="width:0;height:1.5pt" o:hralign="center" o:hrstd="t" o:hr="t" fillcolor="#a0a0a0" stroked="f"/>
        </w:pict>
      </w:r>
    </w:p>
    <w:p w14:paraId="648C60D6" w14:textId="77777777" w:rsidR="00D67884" w:rsidRPr="00D67884" w:rsidRDefault="00D67884" w:rsidP="00D67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H"/>
        </w:rPr>
      </w:pP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Would you like me now to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produce the print-ready dieline PDF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(given your art assets and printer specs) or </w:t>
      </w:r>
      <w:r w:rsidRPr="00D67884">
        <w:rPr>
          <w:rFonts w:ascii="Times New Roman" w:eastAsia="Times New Roman" w:hAnsi="Times New Roman" w:cs="Times New Roman"/>
          <w:b/>
          <w:bCs/>
          <w:sz w:val="24"/>
          <w:szCs w:val="24"/>
          <w:lang w:val="en-GH"/>
        </w:rPr>
        <w:t>draft the Activation API spec &amp; minimal backend blueprint</w:t>
      </w:r>
      <w:r w:rsidRPr="00D67884">
        <w:rPr>
          <w:rFonts w:ascii="Times New Roman" w:eastAsia="Times New Roman" w:hAnsi="Times New Roman" w:cs="Times New Roman"/>
          <w:sz w:val="24"/>
          <w:szCs w:val="24"/>
          <w:lang w:val="en-GH"/>
        </w:rPr>
        <w:t xml:space="preserve"> next?</w:t>
      </w:r>
    </w:p>
    <w:p w14:paraId="000000A2" w14:textId="77777777" w:rsidR="005565F7" w:rsidRDefault="005565F7"/>
    <w:sectPr w:rsidR="005565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82B0A"/>
    <w:multiLevelType w:val="multilevel"/>
    <w:tmpl w:val="CF128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8D03E6"/>
    <w:multiLevelType w:val="multilevel"/>
    <w:tmpl w:val="78249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6D05F6"/>
    <w:multiLevelType w:val="multilevel"/>
    <w:tmpl w:val="D1D8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430D6"/>
    <w:multiLevelType w:val="multilevel"/>
    <w:tmpl w:val="7C541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8A4A91"/>
    <w:multiLevelType w:val="multilevel"/>
    <w:tmpl w:val="C0C26B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65E48DF"/>
    <w:multiLevelType w:val="multilevel"/>
    <w:tmpl w:val="B888B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2C192D"/>
    <w:multiLevelType w:val="multilevel"/>
    <w:tmpl w:val="2212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A474E"/>
    <w:multiLevelType w:val="multilevel"/>
    <w:tmpl w:val="9648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80282"/>
    <w:multiLevelType w:val="multilevel"/>
    <w:tmpl w:val="BAD4F8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8C0D57"/>
    <w:multiLevelType w:val="multilevel"/>
    <w:tmpl w:val="DD129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4F435E2"/>
    <w:multiLevelType w:val="multilevel"/>
    <w:tmpl w:val="981E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C4664"/>
    <w:multiLevelType w:val="multilevel"/>
    <w:tmpl w:val="7D26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CD6277"/>
    <w:multiLevelType w:val="multilevel"/>
    <w:tmpl w:val="90487E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0EC4EDB"/>
    <w:multiLevelType w:val="multilevel"/>
    <w:tmpl w:val="B6FEA7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12029E3"/>
    <w:multiLevelType w:val="multilevel"/>
    <w:tmpl w:val="3B72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E810CB"/>
    <w:multiLevelType w:val="multilevel"/>
    <w:tmpl w:val="DCB834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7B524D7"/>
    <w:multiLevelType w:val="multilevel"/>
    <w:tmpl w:val="FF4CC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7EC7453"/>
    <w:multiLevelType w:val="multilevel"/>
    <w:tmpl w:val="DE9E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920374"/>
    <w:multiLevelType w:val="multilevel"/>
    <w:tmpl w:val="36F264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391AF4"/>
    <w:multiLevelType w:val="multilevel"/>
    <w:tmpl w:val="8148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114D6"/>
    <w:multiLevelType w:val="multilevel"/>
    <w:tmpl w:val="030E8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680BDF"/>
    <w:multiLevelType w:val="multilevel"/>
    <w:tmpl w:val="267C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F73C3B"/>
    <w:multiLevelType w:val="multilevel"/>
    <w:tmpl w:val="ACEA32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576020D"/>
    <w:multiLevelType w:val="multilevel"/>
    <w:tmpl w:val="9740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D3471C"/>
    <w:multiLevelType w:val="multilevel"/>
    <w:tmpl w:val="6FCAF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859336E"/>
    <w:multiLevelType w:val="multilevel"/>
    <w:tmpl w:val="8C66C0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88F69E3"/>
    <w:multiLevelType w:val="multilevel"/>
    <w:tmpl w:val="F154C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C4690D"/>
    <w:multiLevelType w:val="multilevel"/>
    <w:tmpl w:val="D1CAE2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2"/>
  </w:num>
  <w:num w:numId="2">
    <w:abstractNumId w:val="22"/>
  </w:num>
  <w:num w:numId="3">
    <w:abstractNumId w:val="15"/>
  </w:num>
  <w:num w:numId="4">
    <w:abstractNumId w:val="25"/>
  </w:num>
  <w:num w:numId="5">
    <w:abstractNumId w:val="18"/>
  </w:num>
  <w:num w:numId="6">
    <w:abstractNumId w:val="4"/>
  </w:num>
  <w:num w:numId="7">
    <w:abstractNumId w:val="16"/>
  </w:num>
  <w:num w:numId="8">
    <w:abstractNumId w:val="3"/>
  </w:num>
  <w:num w:numId="9">
    <w:abstractNumId w:val="0"/>
  </w:num>
  <w:num w:numId="10">
    <w:abstractNumId w:val="27"/>
  </w:num>
  <w:num w:numId="11">
    <w:abstractNumId w:val="1"/>
  </w:num>
  <w:num w:numId="12">
    <w:abstractNumId w:val="13"/>
  </w:num>
  <w:num w:numId="13">
    <w:abstractNumId w:val="8"/>
  </w:num>
  <w:num w:numId="14">
    <w:abstractNumId w:val="9"/>
  </w:num>
  <w:num w:numId="15">
    <w:abstractNumId w:val="5"/>
  </w:num>
  <w:num w:numId="16">
    <w:abstractNumId w:val="10"/>
  </w:num>
  <w:num w:numId="17">
    <w:abstractNumId w:val="20"/>
  </w:num>
  <w:num w:numId="18">
    <w:abstractNumId w:val="14"/>
  </w:num>
  <w:num w:numId="19">
    <w:abstractNumId w:val="17"/>
  </w:num>
  <w:num w:numId="20">
    <w:abstractNumId w:val="19"/>
  </w:num>
  <w:num w:numId="21">
    <w:abstractNumId w:val="2"/>
  </w:num>
  <w:num w:numId="22">
    <w:abstractNumId w:val="11"/>
  </w:num>
  <w:num w:numId="23">
    <w:abstractNumId w:val="6"/>
  </w:num>
  <w:num w:numId="24">
    <w:abstractNumId w:val="24"/>
  </w:num>
  <w:num w:numId="25">
    <w:abstractNumId w:val="21"/>
  </w:num>
  <w:num w:numId="26">
    <w:abstractNumId w:val="26"/>
  </w:num>
  <w:num w:numId="27">
    <w:abstractNumId w:val="7"/>
  </w:num>
  <w:num w:numId="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5F7"/>
    <w:rsid w:val="005565F7"/>
    <w:rsid w:val="00D67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B5BE9"/>
  <w15:docId w15:val="{FE0EB4C0-B01A-4F9A-8FFB-92B35F825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G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2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1785</Words>
  <Characters>10176</Characters>
  <Application>Microsoft Office Word</Application>
  <DocSecurity>0</DocSecurity>
  <Lines>84</Lines>
  <Paragraphs>23</Paragraphs>
  <ScaleCrop>false</ScaleCrop>
  <Company/>
  <LinksUpToDate>false</LinksUpToDate>
  <CharactersWithSpaces>11938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Elliot Yamoah</cp:lastModifiedBy>
  <cp:revision>2</cp:revision>
  <dcterms:created xsi:type="dcterms:W3CDTF">2025-10-24T22:16:00Z</dcterms:created>
  <dcterms:modified xsi:type="dcterms:W3CDTF">2025-10-24T22:17:00Z</dcterms:modified>
</cp:coreProperties>
</file>