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D05C" w14:textId="77777777" w:rsidR="008E764A" w:rsidRDefault="005E55E5">
      <w:pPr>
        <w:spacing w:after="97" w:line="259" w:lineRule="auto"/>
        <w:ind w:left="112" w:firstLine="0"/>
        <w:jc w:val="center"/>
      </w:pPr>
      <w:r>
        <w:rPr>
          <w:rFonts w:ascii="Segoe UI Symbol" w:eastAsia="Segoe UI Symbol" w:hAnsi="Segoe UI Symbol" w:cs="Segoe UI Symbol"/>
          <w:sz w:val="36"/>
        </w:rPr>
        <w:t>■</w:t>
      </w:r>
      <w:r>
        <w:rPr>
          <w:b/>
          <w:sz w:val="36"/>
        </w:rPr>
        <w:t xml:space="preserve"> Oxford House Accra</w:t>
      </w:r>
    </w:p>
    <w:p w14:paraId="534E3954" w14:textId="3DBFE1F7" w:rsidR="008E764A" w:rsidRDefault="005E55E5" w:rsidP="0001565D">
      <w:pPr>
        <w:spacing w:after="332" w:line="259" w:lineRule="auto"/>
        <w:ind w:left="0" w:firstLine="0"/>
        <w:jc w:val="center"/>
      </w:pPr>
      <w:r>
        <w:rPr>
          <w:b/>
          <w:sz w:val="28"/>
        </w:rPr>
        <w:t xml:space="preserve">A Profitable Social Enterprise by </w:t>
      </w:r>
      <w:proofErr w:type="spellStart"/>
      <w:r>
        <w:rPr>
          <w:b/>
          <w:sz w:val="28"/>
        </w:rPr>
        <w:t>Koware</w:t>
      </w:r>
      <w:proofErr w:type="spellEnd"/>
      <w:r>
        <w:rPr>
          <w:b/>
          <w:sz w:val="28"/>
        </w:rPr>
        <w:t xml:space="preserve"> Incorporated (202</w:t>
      </w:r>
      <w:r w:rsidR="00EE47CD">
        <w:rPr>
          <w:b/>
          <w:sz w:val="28"/>
          <w:lang w:val="en-US"/>
        </w:rPr>
        <w:t>6</w:t>
      </w:r>
      <w:r>
        <w:rPr>
          <w:b/>
          <w:sz w:val="28"/>
        </w:rPr>
        <w:t>–202</w:t>
      </w:r>
      <w:r w:rsidR="00EE47CD">
        <w:rPr>
          <w:b/>
          <w:sz w:val="28"/>
          <w:lang w:val="en-US"/>
        </w:rPr>
        <w:t>7</w:t>
      </w:r>
      <w:r>
        <w:rPr>
          <w:b/>
          <w:sz w:val="28"/>
        </w:rPr>
        <w:t>)</w:t>
      </w:r>
    </w:p>
    <w:p w14:paraId="7AFA3888" w14:textId="77777777" w:rsidR="008E764A" w:rsidRPr="0001565D" w:rsidRDefault="005E55E5">
      <w:pPr>
        <w:pStyle w:val="Heading1"/>
        <w:ind w:left="-5"/>
        <w:rPr>
          <w:sz w:val="24"/>
          <w:szCs w:val="28"/>
        </w:rPr>
      </w:pPr>
      <w:r w:rsidRPr="0001565D">
        <w:rPr>
          <w:sz w:val="24"/>
          <w:szCs w:val="28"/>
        </w:rPr>
        <w:t>Overview</w:t>
      </w:r>
    </w:p>
    <w:p w14:paraId="6C57C49F" w14:textId="3B07517E" w:rsidR="008E764A" w:rsidRPr="0001565D" w:rsidRDefault="005E55E5">
      <w:pPr>
        <w:spacing w:after="236"/>
        <w:ind w:left="-5"/>
        <w:rPr>
          <w:sz w:val="24"/>
          <w:szCs w:val="28"/>
        </w:rPr>
      </w:pPr>
      <w:r w:rsidRPr="0001565D">
        <w:rPr>
          <w:sz w:val="24"/>
          <w:szCs w:val="28"/>
        </w:rPr>
        <w:t>Oxford House Accra combines sober-living recovery housing with</w:t>
      </w:r>
      <w:r w:rsidRPr="0001565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 xml:space="preserve">life-skill and </w:t>
      </w:r>
      <w:r w:rsidRPr="0001565D">
        <w:rPr>
          <w:sz w:val="24"/>
          <w:szCs w:val="28"/>
        </w:rPr>
        <w:t xml:space="preserve">reintegration </w:t>
      </w:r>
      <w:r w:rsidR="0001565D">
        <w:rPr>
          <w:sz w:val="24"/>
          <w:szCs w:val="28"/>
          <w:lang w:val="en-US"/>
        </w:rPr>
        <w:t>programs</w:t>
      </w:r>
      <w:r w:rsidRPr="0001565D">
        <w:rPr>
          <w:sz w:val="24"/>
          <w:szCs w:val="28"/>
        </w:rPr>
        <w:t xml:space="preserve">. Managed by </w:t>
      </w:r>
      <w:proofErr w:type="spellStart"/>
      <w:r w:rsidRPr="0001565D">
        <w:rPr>
          <w:b/>
          <w:sz w:val="24"/>
          <w:szCs w:val="28"/>
        </w:rPr>
        <w:t>Koware</w:t>
      </w:r>
      <w:proofErr w:type="spellEnd"/>
      <w:r w:rsidRPr="0001565D">
        <w:rPr>
          <w:b/>
          <w:sz w:val="24"/>
          <w:szCs w:val="28"/>
        </w:rPr>
        <w:t xml:space="preserve"> Incorporated</w:t>
      </w:r>
      <w:r w:rsidRPr="0001565D">
        <w:rPr>
          <w:sz w:val="24"/>
          <w:szCs w:val="28"/>
        </w:rPr>
        <w:t>, each 5-bedroom Oxford House hosts 6–12 residents who share rent and utilities</w:t>
      </w:r>
      <w:r w:rsidRPr="0001565D">
        <w:rPr>
          <w:sz w:val="24"/>
          <w:szCs w:val="28"/>
        </w:rPr>
        <w:t>. The model is self-funding, scalable</w:t>
      </w:r>
      <w:r w:rsidRPr="0001565D">
        <w:rPr>
          <w:sz w:val="24"/>
          <w:szCs w:val="28"/>
        </w:rPr>
        <w:t xml:space="preserve"> and </w:t>
      </w:r>
      <w:r w:rsidRPr="0001565D">
        <w:rPr>
          <w:sz w:val="24"/>
          <w:szCs w:val="28"/>
        </w:rPr>
        <w:t>social</w:t>
      </w:r>
      <w:proofErr w:type="spellStart"/>
      <w:r>
        <w:rPr>
          <w:sz w:val="24"/>
          <w:szCs w:val="28"/>
          <w:lang w:val="en-US"/>
        </w:rPr>
        <w:t>ly</w:t>
      </w:r>
      <w:proofErr w:type="spellEnd"/>
      <w:r w:rsidRPr="0001565D">
        <w:rPr>
          <w:sz w:val="24"/>
          <w:szCs w:val="28"/>
        </w:rPr>
        <w:t xml:space="preserve"> impact</w:t>
      </w:r>
      <w:proofErr w:type="spellStart"/>
      <w:r>
        <w:rPr>
          <w:sz w:val="24"/>
          <w:szCs w:val="28"/>
          <w:lang w:val="en-US"/>
        </w:rPr>
        <w:t>ful</w:t>
      </w:r>
      <w:proofErr w:type="spellEnd"/>
      <w:r>
        <w:rPr>
          <w:sz w:val="24"/>
          <w:szCs w:val="28"/>
          <w:lang w:val="en-US"/>
        </w:rPr>
        <w:t>.</w:t>
      </w:r>
    </w:p>
    <w:p w14:paraId="7E1EF47B" w14:textId="77777777" w:rsidR="008E764A" w:rsidRPr="0001565D" w:rsidRDefault="005E55E5">
      <w:pPr>
        <w:pStyle w:val="Heading1"/>
        <w:ind w:left="-5"/>
        <w:rPr>
          <w:sz w:val="24"/>
          <w:szCs w:val="28"/>
        </w:rPr>
      </w:pPr>
      <w:r w:rsidRPr="0001565D">
        <w:rPr>
          <w:sz w:val="24"/>
          <w:szCs w:val="28"/>
        </w:rPr>
        <w:t>Financial Snapshot</w:t>
      </w:r>
    </w:p>
    <w:tbl>
      <w:tblPr>
        <w:tblStyle w:val="TableGrid"/>
        <w:tblW w:w="9781" w:type="dxa"/>
        <w:tblInd w:w="-3" w:type="dxa"/>
        <w:tblCellMar>
          <w:top w:w="105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835"/>
        <w:gridCol w:w="3289"/>
        <w:gridCol w:w="3657"/>
      </w:tblGrid>
      <w:tr w:rsidR="008E764A" w:rsidRPr="0001565D" w14:paraId="6C762E81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D0D0"/>
          </w:tcPr>
          <w:p w14:paraId="0496021B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b/>
                <w:sz w:val="22"/>
                <w:szCs w:val="28"/>
              </w:rPr>
              <w:t>Key Metric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D0D0"/>
          </w:tcPr>
          <w:p w14:paraId="09DB7D2F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b/>
                <w:sz w:val="22"/>
                <w:szCs w:val="28"/>
              </w:rPr>
              <w:t>Value / Range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D0D0"/>
          </w:tcPr>
          <w:p w14:paraId="445E3077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b/>
                <w:sz w:val="22"/>
                <w:szCs w:val="28"/>
              </w:rPr>
              <w:t>Notes</w:t>
            </w:r>
          </w:p>
        </w:tc>
      </w:tr>
      <w:tr w:rsidR="008E764A" w:rsidRPr="0001565D" w14:paraId="23F1388F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E2EC93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Base Rent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89A717B" w14:textId="1E366DB1" w:rsidR="008E764A" w:rsidRPr="0001565D" w:rsidRDefault="00EE47CD">
            <w:pPr>
              <w:spacing w:after="0" w:line="259" w:lineRule="auto"/>
              <w:ind w:left="120" w:firstLine="0"/>
              <w:rPr>
                <w:sz w:val="24"/>
                <w:szCs w:val="28"/>
                <w:lang w:val="en-US"/>
              </w:rPr>
            </w:pP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="005E55E5" w:rsidRPr="0001565D">
              <w:rPr>
                <w:sz w:val="22"/>
                <w:szCs w:val="28"/>
              </w:rPr>
              <w:t>4,500/month (1-year down</w:t>
            </w:r>
            <w:r w:rsidRPr="0001565D">
              <w:rPr>
                <w:sz w:val="22"/>
                <w:szCs w:val="28"/>
                <w:lang w:val="en-US"/>
              </w:rPr>
              <w:t>)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80070B8" w14:textId="0798B73E" w:rsidR="008E764A" w:rsidRPr="0001565D" w:rsidRDefault="00EE47CD">
            <w:pPr>
              <w:spacing w:after="0" w:line="259" w:lineRule="auto"/>
              <w:ind w:left="-84" w:firstLine="0"/>
              <w:rPr>
                <w:sz w:val="24"/>
                <w:szCs w:val="28"/>
                <w:lang w:val="en-US"/>
              </w:rPr>
            </w:pPr>
            <w:r w:rsidRPr="0001565D">
              <w:rPr>
                <w:sz w:val="22"/>
                <w:szCs w:val="28"/>
                <w:lang w:val="en-US"/>
              </w:rPr>
              <w:t xml:space="preserve">    </w:t>
            </w:r>
            <w:r w:rsidRPr="0001565D">
              <w:rPr>
                <w:sz w:val="22"/>
                <w:szCs w:val="28"/>
              </w:rPr>
              <w:t xml:space="preserve">Paid to landlord by </w:t>
            </w:r>
            <w:proofErr w:type="spellStart"/>
            <w:r w:rsidRPr="0001565D">
              <w:rPr>
                <w:sz w:val="22"/>
                <w:szCs w:val="28"/>
              </w:rPr>
              <w:t>Koware</w:t>
            </w:r>
            <w:proofErr w:type="spellEnd"/>
          </w:p>
        </w:tc>
      </w:tr>
      <w:tr w:rsidR="008E764A" w:rsidRPr="0001565D" w14:paraId="71D2F7B4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8138722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Fixed + Variable Costs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34249B" w14:textId="05A60652" w:rsidR="008E764A" w:rsidRPr="0001565D" w:rsidRDefault="00EE47CD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="005E55E5" w:rsidRPr="0001565D">
              <w:rPr>
                <w:sz w:val="22"/>
                <w:szCs w:val="28"/>
              </w:rPr>
              <w:t>609/month total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B6D0E87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House maintenance &amp; supplies</w:t>
            </w:r>
          </w:p>
        </w:tc>
      </w:tr>
      <w:tr w:rsidR="008E764A" w:rsidRPr="0001565D" w14:paraId="40631013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75AA1A" w14:textId="0007633A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Resident Fee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E0B8F12" w14:textId="04783D87" w:rsidR="008E764A" w:rsidRPr="0001565D" w:rsidRDefault="00EE47CD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="005E55E5" w:rsidRPr="0001565D">
              <w:rPr>
                <w:sz w:val="22"/>
                <w:szCs w:val="28"/>
              </w:rPr>
              <w:t>735–</w:t>
            </w: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 xml:space="preserve"> </w:t>
            </w: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="005E55E5" w:rsidRPr="0001565D">
              <w:rPr>
                <w:sz w:val="22"/>
                <w:szCs w:val="28"/>
              </w:rPr>
              <w:t>950 / month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C7C8766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Affordable vs market rents</w:t>
            </w:r>
          </w:p>
        </w:tc>
      </w:tr>
      <w:tr w:rsidR="008E764A" w:rsidRPr="0001565D" w14:paraId="71D514CB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36C6F56" w14:textId="7AA828E8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Re-In</w:t>
            </w:r>
            <w:proofErr w:type="spellStart"/>
            <w:r w:rsidR="00EE47CD" w:rsidRPr="0001565D">
              <w:rPr>
                <w:sz w:val="22"/>
                <w:szCs w:val="28"/>
                <w:lang w:val="en-US"/>
              </w:rPr>
              <w:t>tegration</w:t>
            </w:r>
            <w:proofErr w:type="spellEnd"/>
            <w:r w:rsidRPr="0001565D">
              <w:rPr>
                <w:sz w:val="22"/>
                <w:szCs w:val="28"/>
              </w:rPr>
              <w:t xml:space="preserve"> Fee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1F80630" w14:textId="4371B606" w:rsidR="008E764A" w:rsidRPr="0001565D" w:rsidRDefault="00EE47CD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="005E55E5" w:rsidRPr="0001565D">
              <w:rPr>
                <w:sz w:val="22"/>
                <w:szCs w:val="28"/>
              </w:rPr>
              <w:t>160 / resident / month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3125860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 xml:space="preserve">Paid to </w:t>
            </w:r>
            <w:proofErr w:type="spellStart"/>
            <w:r w:rsidRPr="0001565D">
              <w:rPr>
                <w:sz w:val="22"/>
                <w:szCs w:val="28"/>
              </w:rPr>
              <w:t>Koware</w:t>
            </w:r>
            <w:proofErr w:type="spellEnd"/>
          </w:p>
        </w:tc>
      </w:tr>
      <w:tr w:rsidR="008E764A" w:rsidRPr="0001565D" w14:paraId="170AFC3C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68B9940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proofErr w:type="spellStart"/>
            <w:r w:rsidRPr="0001565D">
              <w:rPr>
                <w:sz w:val="22"/>
                <w:szCs w:val="28"/>
              </w:rPr>
              <w:t>Koware</w:t>
            </w:r>
            <w:proofErr w:type="spellEnd"/>
            <w:r w:rsidRPr="0001565D">
              <w:rPr>
                <w:sz w:val="22"/>
                <w:szCs w:val="28"/>
              </w:rPr>
              <w:t xml:space="preserve"> Fee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82ED37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8–12% of rent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D31CF7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Management &amp; oversight</w:t>
            </w:r>
          </w:p>
        </w:tc>
      </w:tr>
      <w:tr w:rsidR="008E764A" w:rsidRPr="0001565D" w14:paraId="709B1D36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B7B4EBC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New House Fund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8839F7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26–30% of rent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924B75C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Expansion reserve</w:t>
            </w:r>
          </w:p>
        </w:tc>
      </w:tr>
      <w:tr w:rsidR="008E764A" w:rsidRPr="0001565D" w14:paraId="4D39313B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BC83D3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 xml:space="preserve">Monthly </w:t>
            </w:r>
            <w:proofErr w:type="spellStart"/>
            <w:r w:rsidRPr="0001565D">
              <w:rPr>
                <w:sz w:val="22"/>
                <w:szCs w:val="28"/>
              </w:rPr>
              <w:t>Koware</w:t>
            </w:r>
            <w:proofErr w:type="spellEnd"/>
            <w:r w:rsidRPr="0001565D">
              <w:rPr>
                <w:sz w:val="22"/>
                <w:szCs w:val="28"/>
              </w:rPr>
              <w:t xml:space="preserve"> Revenue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19FC03" w14:textId="2D99EB09" w:rsidR="008E764A" w:rsidRPr="0001565D" w:rsidRDefault="00EE47CD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="005E55E5" w:rsidRPr="0001565D">
              <w:rPr>
                <w:sz w:val="22"/>
                <w:szCs w:val="28"/>
              </w:rPr>
              <w:t>1,700–</w:t>
            </w: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 xml:space="preserve"> </w:t>
            </w:r>
            <w:r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="0001565D" w:rsidRPr="0001565D">
              <w:rPr>
                <w:sz w:val="22"/>
                <w:szCs w:val="28"/>
                <w:lang w:val="en-US"/>
              </w:rPr>
              <w:t>2</w:t>
            </w:r>
            <w:r w:rsidRPr="0001565D">
              <w:rPr>
                <w:sz w:val="22"/>
                <w:szCs w:val="28"/>
                <w:lang w:val="en-US"/>
              </w:rPr>
              <w:t>,2</w:t>
            </w:r>
            <w:r w:rsidR="005E55E5" w:rsidRPr="0001565D">
              <w:rPr>
                <w:sz w:val="22"/>
                <w:szCs w:val="28"/>
              </w:rPr>
              <w:t>00 / house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FE5C813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Covers admin &amp; profit</w:t>
            </w:r>
          </w:p>
        </w:tc>
      </w:tr>
      <w:tr w:rsidR="008E764A" w:rsidRPr="0001565D" w14:paraId="6E57C364" w14:textId="77777777" w:rsidTr="00EE47CD">
        <w:trPr>
          <w:trHeight w:val="360"/>
        </w:trPr>
        <w:tc>
          <w:tcPr>
            <w:tcW w:w="28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6228458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Annual House Surplus</w:t>
            </w:r>
          </w:p>
        </w:tc>
        <w:tc>
          <w:tcPr>
            <w:tcW w:w="32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53BEAA1" w14:textId="41FB94F8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rFonts w:ascii="Segoe UI Symbol" w:eastAsia="Segoe UI Symbol" w:hAnsi="Segoe UI Symbol" w:cs="Segoe UI Symbol"/>
                <w:sz w:val="22"/>
                <w:szCs w:val="28"/>
              </w:rPr>
              <w:t>≈</w:t>
            </w:r>
            <w:r w:rsidRPr="0001565D">
              <w:rPr>
                <w:sz w:val="22"/>
                <w:szCs w:val="28"/>
              </w:rPr>
              <w:t xml:space="preserve"> </w:t>
            </w:r>
            <w:r w:rsidR="00EE47CD" w:rsidRPr="0001565D">
              <w:rPr>
                <w:color w:val="474747"/>
                <w:sz w:val="24"/>
                <w:szCs w:val="24"/>
                <w:shd w:val="clear" w:color="auto" w:fill="FFFFFF"/>
              </w:rPr>
              <w:t>₵</w:t>
            </w:r>
            <w:r w:rsidRPr="0001565D">
              <w:rPr>
                <w:sz w:val="22"/>
                <w:szCs w:val="28"/>
              </w:rPr>
              <w:t>12,000</w:t>
            </w:r>
          </w:p>
        </w:tc>
        <w:tc>
          <w:tcPr>
            <w:tcW w:w="36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6A4E0FB" w14:textId="77777777" w:rsidR="008E764A" w:rsidRPr="0001565D" w:rsidRDefault="005E55E5">
            <w:pPr>
              <w:spacing w:after="0" w:line="259" w:lineRule="auto"/>
              <w:ind w:left="120" w:firstLine="0"/>
              <w:rPr>
                <w:sz w:val="24"/>
                <w:szCs w:val="28"/>
              </w:rPr>
            </w:pPr>
            <w:r w:rsidRPr="0001565D">
              <w:rPr>
                <w:sz w:val="22"/>
                <w:szCs w:val="28"/>
              </w:rPr>
              <w:t>After all expenses</w:t>
            </w:r>
          </w:p>
        </w:tc>
      </w:tr>
    </w:tbl>
    <w:p w14:paraId="22445AE1" w14:textId="77777777" w:rsidR="005E55E5" w:rsidRDefault="005E55E5">
      <w:pPr>
        <w:ind w:left="-5"/>
        <w:rPr>
          <w:sz w:val="24"/>
          <w:szCs w:val="28"/>
        </w:rPr>
      </w:pPr>
    </w:p>
    <w:p w14:paraId="37EFB4BC" w14:textId="3F8D13FB" w:rsidR="008E764A" w:rsidRPr="0001565D" w:rsidRDefault="005E55E5">
      <w:pPr>
        <w:ind w:left="-5"/>
        <w:rPr>
          <w:sz w:val="24"/>
          <w:szCs w:val="28"/>
        </w:rPr>
      </w:pPr>
      <w:r w:rsidRPr="0001565D">
        <w:rPr>
          <w:sz w:val="24"/>
          <w:szCs w:val="28"/>
        </w:rPr>
        <w:t xml:space="preserve">At full occupancy (10 residents): Resident fee </w:t>
      </w:r>
      <w:r w:rsidRPr="0001565D">
        <w:rPr>
          <w:rFonts w:ascii="Segoe UI Symbol" w:eastAsia="Segoe UI Symbol" w:hAnsi="Segoe UI Symbol" w:cs="Segoe UI Symbol"/>
          <w:sz w:val="24"/>
          <w:szCs w:val="28"/>
        </w:rPr>
        <w:t>≈</w:t>
      </w:r>
      <w:r w:rsidRPr="0001565D">
        <w:rPr>
          <w:sz w:val="24"/>
          <w:szCs w:val="28"/>
        </w:rPr>
        <w:t xml:space="preserve"> </w:t>
      </w:r>
      <w:r w:rsidR="0001565D" w:rsidRPr="0001565D">
        <w:rPr>
          <w:color w:val="474747"/>
          <w:sz w:val="24"/>
          <w:szCs w:val="24"/>
          <w:shd w:val="clear" w:color="auto" w:fill="FFFFFF"/>
        </w:rPr>
        <w:t>₵</w:t>
      </w:r>
      <w:r w:rsidRPr="0001565D">
        <w:rPr>
          <w:sz w:val="24"/>
          <w:szCs w:val="28"/>
        </w:rPr>
        <w:t>850/month (all-inclusive).</w:t>
      </w:r>
    </w:p>
    <w:p w14:paraId="01F56F3C" w14:textId="77777777" w:rsidR="008E764A" w:rsidRPr="0001565D" w:rsidRDefault="005E55E5">
      <w:pPr>
        <w:spacing w:after="0" w:line="259" w:lineRule="auto"/>
        <w:ind w:left="-5"/>
        <w:rPr>
          <w:sz w:val="24"/>
          <w:szCs w:val="28"/>
        </w:rPr>
      </w:pPr>
      <w:proofErr w:type="spellStart"/>
      <w:r w:rsidRPr="0001565D">
        <w:rPr>
          <w:b/>
          <w:sz w:val="24"/>
          <w:szCs w:val="28"/>
        </w:rPr>
        <w:t>Koware</w:t>
      </w:r>
      <w:proofErr w:type="spellEnd"/>
      <w:r w:rsidRPr="0001565D">
        <w:rPr>
          <w:b/>
          <w:sz w:val="24"/>
          <w:szCs w:val="28"/>
        </w:rPr>
        <w:t xml:space="preserve"> profit margin:</w:t>
      </w:r>
      <w:r w:rsidRPr="0001565D">
        <w:rPr>
          <w:sz w:val="24"/>
          <w:szCs w:val="28"/>
        </w:rPr>
        <w:t xml:space="preserve"> 12–18%.</w:t>
      </w:r>
    </w:p>
    <w:p w14:paraId="3FB90998" w14:textId="7EF21E2A" w:rsidR="008E764A" w:rsidRPr="0001565D" w:rsidRDefault="005E55E5">
      <w:pPr>
        <w:spacing w:after="204"/>
        <w:ind w:left="-5"/>
        <w:rPr>
          <w:sz w:val="24"/>
          <w:szCs w:val="28"/>
        </w:rPr>
      </w:pPr>
      <w:r w:rsidRPr="0001565D">
        <w:rPr>
          <w:b/>
          <w:sz w:val="24"/>
          <w:szCs w:val="28"/>
        </w:rPr>
        <w:t>Expansion fund:</w:t>
      </w:r>
      <w:r w:rsidRPr="0001565D">
        <w:rPr>
          <w:sz w:val="24"/>
          <w:szCs w:val="28"/>
        </w:rPr>
        <w:t xml:space="preserve"> </w:t>
      </w:r>
      <w:r w:rsidR="0001565D" w:rsidRPr="0001565D">
        <w:rPr>
          <w:color w:val="474747"/>
          <w:sz w:val="24"/>
          <w:szCs w:val="24"/>
          <w:shd w:val="clear" w:color="auto" w:fill="FFFFFF"/>
        </w:rPr>
        <w:t>₵</w:t>
      </w:r>
      <w:r w:rsidRPr="0001565D">
        <w:rPr>
          <w:sz w:val="24"/>
          <w:szCs w:val="28"/>
        </w:rPr>
        <w:t>16,000+/year supports a new house within 12–15 months.</w:t>
      </w:r>
    </w:p>
    <w:p w14:paraId="1A020B14" w14:textId="37C7CF61" w:rsidR="008E764A" w:rsidRPr="0001565D" w:rsidRDefault="005E55E5" w:rsidP="0001565D">
      <w:pPr>
        <w:pStyle w:val="Heading1"/>
        <w:ind w:left="-5"/>
        <w:rPr>
          <w:sz w:val="24"/>
          <w:szCs w:val="28"/>
        </w:rPr>
      </w:pPr>
      <w:r w:rsidRPr="0001565D">
        <w:rPr>
          <w:sz w:val="24"/>
          <w:szCs w:val="28"/>
        </w:rPr>
        <w:t>Business Model</w:t>
      </w:r>
      <w:r w:rsidR="0001565D">
        <w:rPr>
          <w:sz w:val="24"/>
          <w:szCs w:val="28"/>
          <w:lang w:val="en-US"/>
        </w:rPr>
        <w:t xml:space="preserve">: </w:t>
      </w:r>
      <w:r w:rsidRPr="0001565D">
        <w:rPr>
          <w:b w:val="0"/>
          <w:bCs/>
          <w:sz w:val="24"/>
          <w:szCs w:val="28"/>
        </w:rPr>
        <w:t>Residents pay shared rent plus small management and training fees.</w:t>
      </w:r>
    </w:p>
    <w:p w14:paraId="5B6FB7A9" w14:textId="73C7EC5C" w:rsidR="008E764A" w:rsidRPr="0001565D" w:rsidRDefault="005E55E5">
      <w:pPr>
        <w:ind w:left="-5"/>
        <w:rPr>
          <w:sz w:val="24"/>
          <w:szCs w:val="28"/>
          <w:lang w:val="en-US"/>
        </w:rPr>
      </w:pPr>
      <w:r w:rsidRPr="0001565D">
        <w:rPr>
          <w:b/>
          <w:sz w:val="24"/>
          <w:szCs w:val="28"/>
        </w:rPr>
        <w:t>R</w:t>
      </w:r>
      <w:r w:rsidRPr="0001565D">
        <w:rPr>
          <w:b/>
          <w:sz w:val="24"/>
          <w:szCs w:val="28"/>
        </w:rPr>
        <w:t>evenue streams:</w:t>
      </w:r>
      <w:r w:rsidRPr="0001565D">
        <w:rPr>
          <w:sz w:val="24"/>
          <w:szCs w:val="28"/>
        </w:rPr>
        <w:t xml:space="preserve"> Resident payments, </w:t>
      </w:r>
      <w:r w:rsidR="0001565D" w:rsidRPr="0001565D">
        <w:rPr>
          <w:sz w:val="24"/>
          <w:szCs w:val="28"/>
          <w:lang w:val="en-US"/>
        </w:rPr>
        <w:t>r</w:t>
      </w:r>
      <w:r w:rsidRPr="0001565D">
        <w:rPr>
          <w:sz w:val="24"/>
          <w:szCs w:val="28"/>
        </w:rPr>
        <w:t>e-</w:t>
      </w:r>
      <w:proofErr w:type="spellStart"/>
      <w:r w:rsidR="0001565D" w:rsidRPr="0001565D">
        <w:rPr>
          <w:sz w:val="24"/>
          <w:szCs w:val="28"/>
          <w:lang w:val="en-US"/>
        </w:rPr>
        <w:t>i</w:t>
      </w:r>
      <w:proofErr w:type="spellEnd"/>
      <w:r w:rsidRPr="0001565D">
        <w:rPr>
          <w:sz w:val="24"/>
          <w:szCs w:val="28"/>
        </w:rPr>
        <w:t>n</w:t>
      </w:r>
      <w:proofErr w:type="spellStart"/>
      <w:r w:rsidR="0001565D" w:rsidRPr="0001565D">
        <w:rPr>
          <w:sz w:val="24"/>
          <w:szCs w:val="28"/>
          <w:lang w:val="en-US"/>
        </w:rPr>
        <w:t>tegration</w:t>
      </w:r>
      <w:proofErr w:type="spellEnd"/>
      <w:r w:rsidR="0001565D" w:rsidRPr="0001565D">
        <w:rPr>
          <w:sz w:val="24"/>
          <w:szCs w:val="28"/>
          <w:lang w:val="en-US"/>
        </w:rPr>
        <w:t xml:space="preserve"> programs</w:t>
      </w:r>
      <w:r w:rsidRPr="0001565D">
        <w:rPr>
          <w:sz w:val="24"/>
          <w:szCs w:val="28"/>
        </w:rPr>
        <w:t xml:space="preserve"> and crowdfunding</w:t>
      </w:r>
      <w:r w:rsidR="0001565D">
        <w:rPr>
          <w:sz w:val="24"/>
          <w:szCs w:val="28"/>
          <w:lang w:val="en-US"/>
        </w:rPr>
        <w:t>.</w:t>
      </w:r>
    </w:p>
    <w:p w14:paraId="67E5AD7A" w14:textId="060AE66F" w:rsidR="008E764A" w:rsidRPr="0001565D" w:rsidRDefault="005E55E5">
      <w:pPr>
        <w:spacing w:after="235"/>
        <w:ind w:left="-5"/>
        <w:rPr>
          <w:sz w:val="24"/>
          <w:szCs w:val="28"/>
        </w:rPr>
      </w:pPr>
      <w:r w:rsidRPr="0001565D">
        <w:rPr>
          <w:b/>
          <w:sz w:val="24"/>
          <w:szCs w:val="28"/>
        </w:rPr>
        <w:t>Social Impact:</w:t>
      </w:r>
      <w:r w:rsidRPr="0001565D">
        <w:rPr>
          <w:sz w:val="24"/>
          <w:szCs w:val="28"/>
        </w:rPr>
        <w:t xml:space="preserve"> Affordable recovery housing, </w:t>
      </w:r>
      <w:r>
        <w:rPr>
          <w:sz w:val="24"/>
          <w:szCs w:val="28"/>
          <w:lang w:val="en-US"/>
        </w:rPr>
        <w:t xml:space="preserve">reintegration </w:t>
      </w:r>
      <w:r w:rsidRPr="0001565D">
        <w:rPr>
          <w:sz w:val="24"/>
          <w:szCs w:val="28"/>
        </w:rPr>
        <w:t>and expansion</w:t>
      </w:r>
      <w:r w:rsidRPr="0001565D">
        <w:rPr>
          <w:sz w:val="24"/>
          <w:szCs w:val="28"/>
        </w:rPr>
        <w:t xml:space="preserve"> through reinvestment.</w:t>
      </w:r>
    </w:p>
    <w:p w14:paraId="038979E6" w14:textId="30B575FA" w:rsidR="008E764A" w:rsidRPr="0001565D" w:rsidRDefault="005E55E5" w:rsidP="005E55E5">
      <w:pPr>
        <w:pStyle w:val="Heading1"/>
        <w:ind w:left="-5"/>
        <w:rPr>
          <w:sz w:val="24"/>
          <w:szCs w:val="28"/>
        </w:rPr>
      </w:pPr>
      <w:r w:rsidRPr="0001565D">
        <w:rPr>
          <w:sz w:val="24"/>
          <w:szCs w:val="28"/>
        </w:rPr>
        <w:t>Management &amp; Operations</w:t>
      </w:r>
      <w:r w:rsidR="0001565D">
        <w:rPr>
          <w:sz w:val="24"/>
          <w:szCs w:val="28"/>
          <w:lang w:val="en-US"/>
        </w:rPr>
        <w:t>:</w:t>
      </w:r>
      <w:r>
        <w:rPr>
          <w:sz w:val="24"/>
          <w:szCs w:val="28"/>
          <w:lang w:val="en-US"/>
        </w:rPr>
        <w:t xml:space="preserve"> </w:t>
      </w:r>
      <w:r w:rsidRPr="005E55E5">
        <w:rPr>
          <w:b w:val="0"/>
          <w:bCs/>
          <w:sz w:val="24"/>
          <w:szCs w:val="28"/>
          <w:lang w:val="en-US"/>
        </w:rPr>
        <w:t xml:space="preserve">Recovery Community Coordinator </w:t>
      </w:r>
      <w:r w:rsidRPr="005E55E5">
        <w:rPr>
          <w:b w:val="0"/>
          <w:bCs/>
          <w:sz w:val="24"/>
          <w:szCs w:val="28"/>
        </w:rPr>
        <w:t>(</w:t>
      </w:r>
      <w:proofErr w:type="spellStart"/>
      <w:r w:rsidR="0001565D" w:rsidRPr="005E55E5">
        <w:rPr>
          <w:b w:val="0"/>
          <w:bCs/>
          <w:sz w:val="24"/>
          <w:szCs w:val="28"/>
          <w:lang w:val="en-US"/>
        </w:rPr>
        <w:t>Koware</w:t>
      </w:r>
      <w:proofErr w:type="spellEnd"/>
      <w:r w:rsidR="0001565D" w:rsidRPr="005E55E5">
        <w:rPr>
          <w:b w:val="0"/>
          <w:bCs/>
          <w:sz w:val="24"/>
          <w:szCs w:val="28"/>
          <w:lang w:val="en-US"/>
        </w:rPr>
        <w:t xml:space="preserve"> </w:t>
      </w:r>
      <w:r w:rsidRPr="005E55E5">
        <w:rPr>
          <w:b w:val="0"/>
          <w:bCs/>
          <w:sz w:val="24"/>
          <w:szCs w:val="28"/>
        </w:rPr>
        <w:t>R&amp;D</w:t>
      </w:r>
      <w:r w:rsidRPr="005E55E5">
        <w:rPr>
          <w:b w:val="0"/>
          <w:bCs/>
          <w:sz w:val="24"/>
          <w:szCs w:val="28"/>
        </w:rPr>
        <w:t>) oversees all Oxford Houses.</w:t>
      </w:r>
      <w:r>
        <w:rPr>
          <w:b w:val="0"/>
          <w:bCs/>
          <w:sz w:val="24"/>
          <w:szCs w:val="28"/>
          <w:lang w:val="en-US"/>
        </w:rPr>
        <w:t xml:space="preserve"> </w:t>
      </w:r>
      <w:r w:rsidRPr="005E55E5">
        <w:rPr>
          <w:b w:val="0"/>
          <w:bCs/>
          <w:sz w:val="24"/>
          <w:szCs w:val="28"/>
        </w:rPr>
        <w:t>House Managers ensure daily compliance and reporting</w:t>
      </w:r>
      <w:r w:rsidRPr="005E55E5">
        <w:rPr>
          <w:b w:val="0"/>
          <w:bCs/>
          <w:sz w:val="24"/>
          <w:szCs w:val="28"/>
          <w:lang w:val="en-US"/>
        </w:rPr>
        <w:t xml:space="preserve">, </w:t>
      </w:r>
      <w:r w:rsidRPr="005E55E5">
        <w:rPr>
          <w:b w:val="0"/>
          <w:bCs/>
          <w:sz w:val="24"/>
          <w:szCs w:val="28"/>
        </w:rPr>
        <w:t>manage</w:t>
      </w:r>
      <w:r w:rsidRPr="005E55E5">
        <w:rPr>
          <w:b w:val="0"/>
          <w:bCs/>
          <w:sz w:val="24"/>
          <w:szCs w:val="28"/>
        </w:rPr>
        <w:t xml:space="preserve"> training delivery</w:t>
      </w:r>
      <w:r w:rsidRPr="005E55E5">
        <w:rPr>
          <w:b w:val="0"/>
          <w:bCs/>
          <w:sz w:val="24"/>
          <w:szCs w:val="28"/>
          <w:lang w:val="en-US"/>
        </w:rPr>
        <w:t xml:space="preserve"> and tr</w:t>
      </w:r>
      <w:proofErr w:type="spellStart"/>
      <w:r w:rsidRPr="005E55E5">
        <w:rPr>
          <w:b w:val="0"/>
          <w:bCs/>
          <w:sz w:val="24"/>
          <w:szCs w:val="28"/>
        </w:rPr>
        <w:t>ansparent</w:t>
      </w:r>
      <w:proofErr w:type="spellEnd"/>
      <w:r w:rsidRPr="005E55E5">
        <w:rPr>
          <w:b w:val="0"/>
          <w:bCs/>
          <w:sz w:val="24"/>
          <w:szCs w:val="28"/>
        </w:rPr>
        <w:t xml:space="preserve"> financial oversight through </w:t>
      </w:r>
      <w:proofErr w:type="spellStart"/>
      <w:r w:rsidRPr="005E55E5">
        <w:rPr>
          <w:b w:val="0"/>
          <w:bCs/>
          <w:sz w:val="24"/>
          <w:szCs w:val="28"/>
        </w:rPr>
        <w:t>Koware</w:t>
      </w:r>
      <w:proofErr w:type="spellEnd"/>
      <w:r w:rsidRPr="005E55E5">
        <w:rPr>
          <w:b w:val="0"/>
          <w:bCs/>
          <w:sz w:val="24"/>
          <w:szCs w:val="28"/>
        </w:rPr>
        <w:t xml:space="preserve"> </w:t>
      </w:r>
      <w:r w:rsidR="0001565D" w:rsidRPr="005E55E5">
        <w:rPr>
          <w:b w:val="0"/>
          <w:bCs/>
          <w:sz w:val="24"/>
          <w:szCs w:val="28"/>
          <w:lang w:val="en-US"/>
        </w:rPr>
        <w:t>Administration</w:t>
      </w:r>
      <w:r w:rsidRPr="005E55E5">
        <w:rPr>
          <w:b w:val="0"/>
          <w:bCs/>
          <w:sz w:val="24"/>
          <w:szCs w:val="28"/>
        </w:rPr>
        <w:t xml:space="preserve"> Department.</w:t>
      </w:r>
    </w:p>
    <w:p w14:paraId="3573F6FC" w14:textId="77777777" w:rsidR="005E55E5" w:rsidRDefault="005E55E5">
      <w:pPr>
        <w:pStyle w:val="Heading1"/>
        <w:ind w:left="-5"/>
        <w:rPr>
          <w:sz w:val="24"/>
          <w:szCs w:val="28"/>
        </w:rPr>
      </w:pPr>
    </w:p>
    <w:p w14:paraId="4C161132" w14:textId="75B6CB99" w:rsidR="008E764A" w:rsidRPr="005E55E5" w:rsidRDefault="005E55E5">
      <w:pPr>
        <w:pStyle w:val="Heading1"/>
        <w:ind w:left="-5"/>
        <w:rPr>
          <w:sz w:val="24"/>
          <w:szCs w:val="28"/>
          <w:lang w:val="en-US"/>
        </w:rPr>
      </w:pPr>
      <w:r w:rsidRPr="0001565D">
        <w:rPr>
          <w:sz w:val="24"/>
          <w:szCs w:val="28"/>
        </w:rPr>
        <w:t>Funding Need &amp; Investor Offer</w:t>
      </w:r>
      <w:r>
        <w:rPr>
          <w:sz w:val="24"/>
          <w:szCs w:val="28"/>
          <w:lang w:val="en-US"/>
        </w:rPr>
        <w:t xml:space="preserve">: </w:t>
      </w:r>
    </w:p>
    <w:p w14:paraId="059E7E30" w14:textId="717B3B5C" w:rsidR="008E764A" w:rsidRPr="0001565D" w:rsidRDefault="0001565D">
      <w:pPr>
        <w:ind w:left="-5"/>
        <w:rPr>
          <w:sz w:val="24"/>
          <w:szCs w:val="28"/>
        </w:rPr>
      </w:pPr>
      <w:r w:rsidRPr="0001565D">
        <w:rPr>
          <w:color w:val="474747"/>
          <w:sz w:val="24"/>
          <w:szCs w:val="24"/>
          <w:shd w:val="clear" w:color="auto" w:fill="FFFFFF"/>
        </w:rPr>
        <w:t>₵</w:t>
      </w:r>
      <w:r w:rsidR="005E55E5" w:rsidRPr="0001565D">
        <w:rPr>
          <w:sz w:val="24"/>
          <w:szCs w:val="28"/>
        </w:rPr>
        <w:t>70,000 initial raise (</w:t>
      </w:r>
      <w:r w:rsidRPr="0001565D">
        <w:rPr>
          <w:color w:val="474747"/>
          <w:sz w:val="24"/>
          <w:szCs w:val="24"/>
          <w:shd w:val="clear" w:color="auto" w:fill="FFFFFF"/>
        </w:rPr>
        <w:t>₵</w:t>
      </w:r>
      <w:r w:rsidR="005E55E5" w:rsidRPr="0001565D">
        <w:rPr>
          <w:sz w:val="24"/>
          <w:szCs w:val="28"/>
        </w:rPr>
        <w:t xml:space="preserve">54k rent deposit + </w:t>
      </w:r>
      <w:r w:rsidRPr="0001565D">
        <w:rPr>
          <w:color w:val="474747"/>
          <w:sz w:val="24"/>
          <w:szCs w:val="24"/>
          <w:shd w:val="clear" w:color="auto" w:fill="FFFFFF"/>
        </w:rPr>
        <w:t>₵</w:t>
      </w:r>
      <w:r w:rsidR="005E55E5" w:rsidRPr="0001565D">
        <w:rPr>
          <w:sz w:val="24"/>
          <w:szCs w:val="28"/>
        </w:rPr>
        <w:t xml:space="preserve">10k setup + </w:t>
      </w:r>
      <w:r w:rsidRPr="0001565D">
        <w:rPr>
          <w:color w:val="474747"/>
          <w:sz w:val="24"/>
          <w:szCs w:val="24"/>
          <w:shd w:val="clear" w:color="auto" w:fill="FFFFFF"/>
        </w:rPr>
        <w:t>₵</w:t>
      </w:r>
      <w:r w:rsidR="005E55E5" w:rsidRPr="0001565D">
        <w:rPr>
          <w:sz w:val="24"/>
          <w:szCs w:val="28"/>
        </w:rPr>
        <w:t>6k admin).</w:t>
      </w:r>
    </w:p>
    <w:p w14:paraId="2C5BB4CE" w14:textId="77777777" w:rsidR="008E764A" w:rsidRPr="0001565D" w:rsidRDefault="005E55E5">
      <w:pPr>
        <w:ind w:left="-5"/>
        <w:rPr>
          <w:sz w:val="24"/>
          <w:szCs w:val="28"/>
        </w:rPr>
      </w:pPr>
      <w:r w:rsidRPr="0001565D">
        <w:rPr>
          <w:sz w:val="24"/>
          <w:szCs w:val="28"/>
        </w:rPr>
        <w:t>R</w:t>
      </w:r>
      <w:r w:rsidRPr="0001565D">
        <w:rPr>
          <w:sz w:val="24"/>
          <w:szCs w:val="28"/>
        </w:rPr>
        <w:t xml:space="preserve">eturn potential: </w:t>
      </w:r>
      <w:r w:rsidRPr="0001565D">
        <w:rPr>
          <w:b/>
          <w:sz w:val="24"/>
          <w:szCs w:val="28"/>
        </w:rPr>
        <w:t>12–18% profit</w:t>
      </w:r>
      <w:r w:rsidRPr="0001565D">
        <w:rPr>
          <w:sz w:val="24"/>
          <w:szCs w:val="28"/>
        </w:rPr>
        <w:t xml:space="preserve"> with strong social metrics.</w:t>
      </w:r>
    </w:p>
    <w:p w14:paraId="5534139C" w14:textId="04378435" w:rsidR="008E764A" w:rsidRPr="0001565D" w:rsidRDefault="005E55E5">
      <w:pPr>
        <w:spacing w:after="204"/>
        <w:ind w:left="-5"/>
        <w:rPr>
          <w:sz w:val="24"/>
          <w:szCs w:val="28"/>
        </w:rPr>
      </w:pPr>
      <w:r w:rsidRPr="0001565D">
        <w:rPr>
          <w:sz w:val="24"/>
          <w:szCs w:val="28"/>
        </w:rPr>
        <w:t xml:space="preserve">Scalable to </w:t>
      </w:r>
      <w:r w:rsidRPr="0001565D">
        <w:rPr>
          <w:b/>
          <w:sz w:val="24"/>
          <w:szCs w:val="28"/>
        </w:rPr>
        <w:t>3–5 houses in 3 years</w:t>
      </w:r>
      <w:r w:rsidRPr="0001565D">
        <w:rPr>
          <w:sz w:val="24"/>
          <w:szCs w:val="28"/>
        </w:rPr>
        <w:t xml:space="preserve"> (</w:t>
      </w:r>
      <w:r w:rsidR="0001565D" w:rsidRPr="0001565D">
        <w:rPr>
          <w:color w:val="474747"/>
          <w:sz w:val="24"/>
          <w:szCs w:val="24"/>
          <w:shd w:val="clear" w:color="auto" w:fill="FFFFFF"/>
        </w:rPr>
        <w:t>₵</w:t>
      </w:r>
      <w:r w:rsidRPr="0001565D">
        <w:rPr>
          <w:sz w:val="24"/>
          <w:szCs w:val="28"/>
        </w:rPr>
        <w:t>350k+ total portfolio value).</w:t>
      </w:r>
    </w:p>
    <w:p w14:paraId="49E11A2B" w14:textId="77777777" w:rsidR="008E764A" w:rsidRPr="0001565D" w:rsidRDefault="005E55E5">
      <w:pPr>
        <w:pStyle w:val="Heading1"/>
        <w:ind w:left="-5"/>
        <w:rPr>
          <w:sz w:val="24"/>
          <w:szCs w:val="28"/>
        </w:rPr>
      </w:pPr>
      <w:r w:rsidRPr="0001565D">
        <w:rPr>
          <w:sz w:val="24"/>
          <w:szCs w:val="28"/>
        </w:rPr>
        <w:t>Why Invest</w:t>
      </w:r>
    </w:p>
    <w:p w14:paraId="5BB5BCEF" w14:textId="77777777" w:rsidR="008E764A" w:rsidRPr="0001565D" w:rsidRDefault="005E55E5">
      <w:pPr>
        <w:numPr>
          <w:ilvl w:val="0"/>
          <w:numId w:val="1"/>
        </w:numPr>
        <w:ind w:hanging="225"/>
        <w:rPr>
          <w:sz w:val="24"/>
          <w:szCs w:val="28"/>
        </w:rPr>
      </w:pPr>
      <w:r w:rsidRPr="0001565D">
        <w:rPr>
          <w:sz w:val="24"/>
          <w:szCs w:val="28"/>
        </w:rPr>
        <w:t>Prov</w:t>
      </w:r>
      <w:r w:rsidRPr="0001565D">
        <w:rPr>
          <w:sz w:val="24"/>
          <w:szCs w:val="28"/>
        </w:rPr>
        <w:t>en Oxford House model adapted for Ghana.</w:t>
      </w:r>
    </w:p>
    <w:p w14:paraId="661E0A71" w14:textId="77777777" w:rsidR="008E764A" w:rsidRPr="0001565D" w:rsidRDefault="005E55E5">
      <w:pPr>
        <w:numPr>
          <w:ilvl w:val="0"/>
          <w:numId w:val="1"/>
        </w:numPr>
        <w:ind w:hanging="225"/>
        <w:rPr>
          <w:sz w:val="24"/>
          <w:szCs w:val="28"/>
        </w:rPr>
      </w:pPr>
      <w:r w:rsidRPr="0001565D">
        <w:rPr>
          <w:sz w:val="24"/>
          <w:szCs w:val="28"/>
        </w:rPr>
        <w:t>Profitable within first year; low risk via prepaid rent.</w:t>
      </w:r>
    </w:p>
    <w:p w14:paraId="2983874A" w14:textId="77777777" w:rsidR="008E764A" w:rsidRPr="0001565D" w:rsidRDefault="005E55E5">
      <w:pPr>
        <w:numPr>
          <w:ilvl w:val="0"/>
          <w:numId w:val="1"/>
        </w:numPr>
        <w:ind w:hanging="225"/>
        <w:rPr>
          <w:sz w:val="24"/>
          <w:szCs w:val="28"/>
        </w:rPr>
      </w:pPr>
      <w:r w:rsidRPr="0001565D">
        <w:rPr>
          <w:sz w:val="24"/>
          <w:szCs w:val="28"/>
        </w:rPr>
        <w:t xml:space="preserve">Strong pipeline from 15+ rehab </w:t>
      </w:r>
      <w:proofErr w:type="spellStart"/>
      <w:r w:rsidRPr="0001565D">
        <w:rPr>
          <w:sz w:val="24"/>
          <w:szCs w:val="28"/>
        </w:rPr>
        <w:t>centers</w:t>
      </w:r>
      <w:proofErr w:type="spellEnd"/>
      <w:r w:rsidRPr="0001565D">
        <w:rPr>
          <w:sz w:val="24"/>
          <w:szCs w:val="28"/>
        </w:rPr>
        <w:t xml:space="preserve"> in Accra.</w:t>
      </w:r>
    </w:p>
    <w:p w14:paraId="35E9ED7D" w14:textId="5A1396C2" w:rsidR="008E764A" w:rsidRPr="0001565D" w:rsidRDefault="005E55E5">
      <w:pPr>
        <w:numPr>
          <w:ilvl w:val="0"/>
          <w:numId w:val="1"/>
        </w:numPr>
        <w:spacing w:after="244"/>
        <w:ind w:hanging="225"/>
        <w:rPr>
          <w:sz w:val="24"/>
          <w:szCs w:val="28"/>
        </w:rPr>
      </w:pPr>
      <w:r w:rsidRPr="0001565D">
        <w:rPr>
          <w:sz w:val="24"/>
          <w:szCs w:val="28"/>
        </w:rPr>
        <w:t>Transparent, AI-supported</w:t>
      </w:r>
      <w:r w:rsidRPr="0001565D">
        <w:rPr>
          <w:sz w:val="24"/>
          <w:szCs w:val="28"/>
        </w:rPr>
        <w:t xml:space="preserve"> management</w:t>
      </w:r>
      <w:r w:rsidRPr="0001565D">
        <w:rPr>
          <w:sz w:val="24"/>
          <w:szCs w:val="28"/>
        </w:rPr>
        <w:t>.</w:t>
      </w:r>
    </w:p>
    <w:p w14:paraId="6A489273" w14:textId="77777777" w:rsidR="008E764A" w:rsidRPr="0001565D" w:rsidRDefault="005E55E5">
      <w:pPr>
        <w:pStyle w:val="Heading1"/>
        <w:ind w:left="-5"/>
        <w:rPr>
          <w:sz w:val="24"/>
          <w:szCs w:val="28"/>
        </w:rPr>
      </w:pPr>
      <w:r w:rsidRPr="0001565D">
        <w:rPr>
          <w:sz w:val="24"/>
          <w:szCs w:val="28"/>
        </w:rPr>
        <w:t>Contact</w:t>
      </w:r>
    </w:p>
    <w:p w14:paraId="7D272EE6" w14:textId="6D476688" w:rsidR="008E764A" w:rsidRPr="0001565D" w:rsidRDefault="0001565D">
      <w:pPr>
        <w:ind w:left="-5"/>
        <w:rPr>
          <w:sz w:val="24"/>
          <w:szCs w:val="28"/>
        </w:rPr>
      </w:pPr>
      <w:proofErr w:type="spellStart"/>
      <w:r w:rsidRPr="0001565D">
        <w:rPr>
          <w:sz w:val="24"/>
          <w:szCs w:val="28"/>
          <w:lang w:val="en-US"/>
        </w:rPr>
        <w:t>Buzzjuice</w:t>
      </w:r>
      <w:proofErr w:type="spellEnd"/>
      <w:r w:rsidRPr="0001565D">
        <w:rPr>
          <w:sz w:val="24"/>
          <w:szCs w:val="28"/>
          <w:lang w:val="en-US"/>
        </w:rPr>
        <w:t xml:space="preserve"> Network Support</w:t>
      </w:r>
      <w:r w:rsidR="005E55E5" w:rsidRPr="0001565D">
        <w:rPr>
          <w:sz w:val="24"/>
          <w:szCs w:val="28"/>
        </w:rPr>
        <w:t xml:space="preserve"> — Recovery Community Program</w:t>
      </w:r>
    </w:p>
    <w:p w14:paraId="633F27B0" w14:textId="2444A683" w:rsidR="008E764A" w:rsidRPr="0001565D" w:rsidRDefault="005E55E5">
      <w:pPr>
        <w:ind w:left="-5"/>
        <w:rPr>
          <w:sz w:val="24"/>
          <w:szCs w:val="28"/>
          <w:lang w:val="en-US"/>
        </w:rPr>
      </w:pPr>
      <w:r w:rsidRPr="0001565D">
        <w:rPr>
          <w:sz w:val="24"/>
          <w:szCs w:val="28"/>
        </w:rPr>
        <w:t xml:space="preserve">Email: </w:t>
      </w:r>
      <w:proofErr w:type="spellStart"/>
      <w:r w:rsidR="0001565D" w:rsidRPr="0001565D">
        <w:rPr>
          <w:sz w:val="24"/>
          <w:szCs w:val="28"/>
          <w:lang w:val="en-US"/>
        </w:rPr>
        <w:t>oxfordhouse</w:t>
      </w:r>
      <w:proofErr w:type="spellEnd"/>
      <w:r w:rsidRPr="0001565D">
        <w:rPr>
          <w:sz w:val="24"/>
          <w:szCs w:val="28"/>
        </w:rPr>
        <w:t>@</w:t>
      </w:r>
      <w:proofErr w:type="spellStart"/>
      <w:r w:rsidR="0001565D" w:rsidRPr="0001565D">
        <w:rPr>
          <w:sz w:val="24"/>
          <w:szCs w:val="28"/>
          <w:lang w:val="en-US"/>
        </w:rPr>
        <w:t>buzzjuice</w:t>
      </w:r>
      <w:proofErr w:type="spellEnd"/>
      <w:r w:rsidRPr="0001565D">
        <w:rPr>
          <w:sz w:val="24"/>
          <w:szCs w:val="28"/>
        </w:rPr>
        <w:t>.</w:t>
      </w:r>
      <w:r w:rsidR="0001565D" w:rsidRPr="0001565D">
        <w:rPr>
          <w:sz w:val="24"/>
          <w:szCs w:val="28"/>
          <w:lang w:val="en-US"/>
        </w:rPr>
        <w:t>net</w:t>
      </w:r>
      <w:r w:rsidRPr="0001565D">
        <w:rPr>
          <w:sz w:val="24"/>
          <w:szCs w:val="28"/>
        </w:rPr>
        <w:t xml:space="preserve"> | Web: buzzjuice.net</w:t>
      </w:r>
      <w:r w:rsidR="0001565D" w:rsidRPr="0001565D">
        <w:rPr>
          <w:sz w:val="24"/>
          <w:szCs w:val="28"/>
          <w:lang w:val="en-US"/>
        </w:rPr>
        <w:t>/oxford-house</w:t>
      </w:r>
    </w:p>
    <w:p w14:paraId="08E267C7" w14:textId="77777777" w:rsidR="008E764A" w:rsidRPr="005E55E5" w:rsidRDefault="005E55E5">
      <w:pPr>
        <w:ind w:left="-5"/>
        <w:rPr>
          <w:i/>
          <w:iCs/>
          <w:sz w:val="24"/>
          <w:szCs w:val="28"/>
        </w:rPr>
      </w:pPr>
      <w:r w:rsidRPr="005E55E5">
        <w:rPr>
          <w:i/>
          <w:iCs/>
          <w:sz w:val="24"/>
          <w:szCs w:val="28"/>
        </w:rPr>
        <w:t>(Full investment proposal available upon request.)</w:t>
      </w:r>
    </w:p>
    <w:sectPr w:rsidR="008E764A" w:rsidRPr="005E55E5" w:rsidSect="005E55E5">
      <w:pgSz w:w="11906" w:h="16838"/>
      <w:pgMar w:top="568" w:right="566" w:bottom="993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7359B"/>
    <w:multiLevelType w:val="hybridMultilevel"/>
    <w:tmpl w:val="8B524F92"/>
    <w:lvl w:ilvl="0" w:tplc="27C86F10">
      <w:start w:val="1"/>
      <w:numFmt w:val="bullet"/>
      <w:lvlText w:val="✔"/>
      <w:lvlJc w:val="left"/>
      <w:pPr>
        <w:ind w:left="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3AA2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694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3AC2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3241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4A94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C43D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BA2A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C28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64A"/>
    <w:rsid w:val="0001565D"/>
    <w:rsid w:val="005E55E5"/>
    <w:rsid w:val="008E764A"/>
    <w:rsid w:val="00E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23BF"/>
  <w15:docId w15:val="{DB9E3CB2-B6DE-4EAA-919D-5990B02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Elliot Yamoah</cp:lastModifiedBy>
  <cp:revision>2</cp:revision>
  <dcterms:created xsi:type="dcterms:W3CDTF">2025-10-27T15:05:00Z</dcterms:created>
  <dcterms:modified xsi:type="dcterms:W3CDTF">2025-10-27T15:05:00Z</dcterms:modified>
</cp:coreProperties>
</file>