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Taylor &amp; Francis Reader</w:t>
      </w:r>
    </w:p>
    <w:p>
      <w:pPr>
        <w:spacing w:after="120"/>
      </w:pPr>
      <w:r>
        <w:rPr>
          <w:rFonts w:ascii="Calibri" w:cs="Calibri" w:eastAsia="Calibri" w:hAnsi="Calibri"/>
          <w:color w:val="2E74B5"/>
          <w:sz w:val="24"/>
          <w:szCs w:val="24"/>
        </w:rPr>
        <w:t xml:space="preserve">Eight-Week Prototype Plan</w:t>
      </w:r>
    </w:p>
    <w:p>
      <w:pPr>
        <w:pBdr>
          <w:bottom w:val="single" w:color="1F3864" w:sz="12"/>
        </w:pBdr>
        <w:spacing w:after="200"/>
      </w:pPr>
    </w:p>
    <w:p>
      <w:pPr>
        <w:pStyle w:val="Heading1"/>
        <w:pBdr>
          <w:bottom w:val="single" w:color="D9E2F3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Approach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Over eight weeks, you build the prototype as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four teams of five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. Two phases: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Weeks 1–5 — parallel capability 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Your team builds its capabilities and plans and runs its own work; leadership rotates weekly so every graduate leads. Every capability is built, tested and integration-ready by the end of Week 5.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Weeks 6–8 — integration &amp; testing.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Each team nominates one permanent Integration Lead; the cohort works as one team to integrate, test end-to-end, and demonstrate the prototype.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plan sets the higher-picture framework and gates — your teams own the detailed design and task breakdown. This is a prototype, not a production build.</w:t>
      </w:r>
    </w:p>
    <w:p>
      <w:pPr>
        <w:pStyle w:val="Heading1"/>
        <w:pBdr>
          <w:bottom w:val="single" w:color="D9E2F3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Phases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400"/>
        <w:gridCol w:w="900"/>
        <w:gridCol w:w="3600"/>
        <w:gridCol w:w="246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Phase</w:t>
            </w:r>
          </w:p>
        </w:tc>
        <w:tc>
          <w:tcPr>
            <w:tcW w:type="dxa" w:w="9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Weeks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246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Exit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Parallel capability build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1–5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Each team builds and tests its capability to be integration-ready.</w:t>
            </w:r>
          </w:p>
        </w:tc>
        <w:tc>
          <w:tcPr>
            <w:tcW w:type="dxa" w:w="24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Every capability integration-ready (Week-5 gate).</w:t>
            </w:r>
          </w:p>
        </w:tc>
      </w:tr>
      <w:tr>
        <w:tc>
          <w:tcPr>
            <w:tcW w:type="dxa" w:w="240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Integration &amp; testing</w:t>
            </w:r>
          </w:p>
        </w:tc>
        <w:tc>
          <w:tcPr>
            <w:tcW w:type="dxa" w:w="90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6–8</w:t>
            </w:r>
          </w:p>
        </w:tc>
        <w:tc>
          <w:tcPr>
            <w:tcW w:type="dxa" w:w="360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Integrate capabilities, test end-to-end, demonstrate.</w:t>
            </w:r>
          </w:p>
        </w:tc>
        <w:tc>
          <w:tcPr>
            <w:tcW w:type="dxa" w:w="246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Stable, integrated prototype (showcase).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Readiness rule: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integration and testing begin only after Week 5 — every team must be ready before that point.</w:t>
      </w:r>
    </w:p>
    <w:p>
      <w:pPr>
        <w:pStyle w:val="Heading1"/>
        <w:pBdr>
          <w:bottom w:val="single" w:color="D9E2F3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Week-by-week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700"/>
        <w:gridCol w:w="1900"/>
        <w:gridCol w:w="4560"/>
        <w:gridCol w:w="22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Week</w:t>
            </w:r>
          </w:p>
        </w:tc>
        <w:tc>
          <w:tcPr>
            <w:tcW w:type="dxa" w:w="19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Phase</w:t>
            </w:r>
          </w:p>
        </w:tc>
        <w:tc>
          <w:tcPr>
            <w:tcW w:type="dxa" w:w="456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Focus</w:t>
            </w:r>
          </w:p>
        </w:tc>
        <w:tc>
          <w:tcPr>
            <w:tcW w:type="dxa" w:w="22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Friday review</w:t>
            </w:r>
          </w:p>
        </w:tc>
      </w:tr>
      <w:tr>
        <w:tc>
          <w:tcPr>
            <w:tcW w:type="dxa" w:w="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1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Build</w:t>
            </w:r>
          </w:p>
        </w:tc>
        <w:tc>
          <w:tcPr>
            <w:tcW w:type="dxa" w:w="4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Foundations: teams align on shared contracts, interfaces and environments, and set up.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★ Alignment &amp; Contracts Gate</w:t>
            </w:r>
          </w:p>
        </w:tc>
      </w:tr>
      <w:tr>
        <w:tc>
          <w:tcPr>
            <w:tcW w:type="dxa" w:w="70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</w:t>
            </w:r>
          </w:p>
        </w:tc>
        <w:tc>
          <w:tcPr>
            <w:tcW w:type="dxa" w:w="190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Build</w:t>
            </w:r>
          </w:p>
        </w:tc>
        <w:tc>
          <w:tcPr>
            <w:tcW w:type="dxa" w:w="456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Parallel capability build (teams plan and run their own work).</w:t>
            </w:r>
          </w:p>
        </w:tc>
        <w:tc>
          <w:tcPr>
            <w:tcW w:type="dxa" w:w="220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Weekly review</w:t>
            </w:r>
          </w:p>
        </w:tc>
      </w:tr>
      <w:tr>
        <w:tc>
          <w:tcPr>
            <w:tcW w:type="dxa" w:w="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3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Build</w:t>
            </w:r>
          </w:p>
        </w:tc>
        <w:tc>
          <w:tcPr>
            <w:tcW w:type="dxa" w:w="4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Parallel capability build.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★ Contract &amp; Dependency Check</w:t>
            </w:r>
          </w:p>
        </w:tc>
      </w:tr>
      <w:tr>
        <w:tc>
          <w:tcPr>
            <w:tcW w:type="dxa" w:w="70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4</w:t>
            </w:r>
          </w:p>
        </w:tc>
        <w:tc>
          <w:tcPr>
            <w:tcW w:type="dxa" w:w="190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Build</w:t>
            </w:r>
          </w:p>
        </w:tc>
        <w:tc>
          <w:tcPr>
            <w:tcW w:type="dxa" w:w="456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Parallel capability build; capabilities nearing complete.</w:t>
            </w:r>
          </w:p>
        </w:tc>
        <w:tc>
          <w:tcPr>
            <w:tcW w:type="dxa" w:w="220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Weekly review</w:t>
            </w:r>
          </w:p>
        </w:tc>
      </w:tr>
      <w:tr>
        <w:tc>
          <w:tcPr>
            <w:tcW w:type="dxa" w:w="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5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Build</w:t>
            </w:r>
          </w:p>
        </w:tc>
        <w:tc>
          <w:tcPr>
            <w:tcW w:type="dxa" w:w="4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Each team completes, tests and makes its capability integration-ready.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★ Integration Readiness Gate</w:t>
            </w:r>
          </w:p>
        </w:tc>
      </w:tr>
      <w:tr>
        <w:tc>
          <w:tcPr>
            <w:tcW w:type="dxa" w:w="70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6</w:t>
            </w:r>
          </w:p>
        </w:tc>
        <w:tc>
          <w:tcPr>
            <w:tcW w:type="dxa" w:w="190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Integration &amp; testing</w:t>
            </w:r>
          </w:p>
        </w:tc>
        <w:tc>
          <w:tcPr>
            <w:tcW w:type="dxa" w:w="456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One team: integrate capabilities; end-to-end testing begins.</w:t>
            </w:r>
          </w:p>
        </w:tc>
        <w:tc>
          <w:tcPr>
            <w:tcW w:type="dxa" w:w="220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★ Integration checkpoint</w:t>
            </w:r>
          </w:p>
        </w:tc>
      </w:tr>
      <w:tr>
        <w:tc>
          <w:tcPr>
            <w:tcW w:type="dxa" w:w="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7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Integration &amp; testing</w:t>
            </w:r>
          </w:p>
        </w:tc>
        <w:tc>
          <w:tcPr>
            <w:tcW w:type="dxa" w:w="4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Full end-to-end; prototype-level hardening.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★ Hardening review</w:t>
            </w:r>
          </w:p>
        </w:tc>
      </w:tr>
      <w:tr>
        <w:tc>
          <w:tcPr>
            <w:tcW w:type="dxa" w:w="70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8</w:t>
            </w:r>
          </w:p>
        </w:tc>
        <w:tc>
          <w:tcPr>
            <w:tcW w:type="dxa" w:w="190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Integration &amp; testing</w:t>
            </w:r>
          </w:p>
        </w:tc>
        <w:tc>
          <w:tcPr>
            <w:tcW w:type="dxa" w:w="456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Stabilise; final testing; prepare and run the showcase.</w:t>
            </w:r>
          </w:p>
        </w:tc>
        <w:tc>
          <w:tcPr>
            <w:tcW w:type="dxa" w:w="220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★ Final Showcase</w:t>
            </w:r>
          </w:p>
        </w:tc>
      </w:tr>
    </w:tbl>
    <w:p>
      <w:pPr>
        <w:pStyle w:val="Heading1"/>
        <w:pBdr>
          <w:bottom w:val="single" w:color="D9E2F3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Reviews needing extra attention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Week 1 — Contracts: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Architecture Lead, Product Owner, Delivery Lead. Aligns the contracts all parallel work depends on.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Week 3 — Dependency check: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Architecture Lead, QA focal. Confirms cross-capability fit before the second half.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Week 5 — Readiness gate: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Delivery Lead, Product Owner, Architecture Lead, QA Lead, client SME(s). Go/no-go before integration.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Weeks 6–7 — Integration &amp; hardening: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Architecture Lead, QA Lead, security focal. Highest-risk seams meet reality; validate security/DRM, entitlement, performance.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Week 8 — Showcase: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client leadership / senior stakeholders.</w:t>
      </w:r>
    </w:p>
    <w:p>
      <w:pPr>
        <w:pStyle w:val="Heading1"/>
        <w:pBdr>
          <w:bottom w:val="single" w:color="D9E2F3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Milestones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End Week 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shared contracts aligned; teams building.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End Week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all seven capabilities built, tested and integration-ready; Integration Leads nominated.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End Week 6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capabilities integrated; end-to-end testing underway.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End Week 8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stable, integrated prototype demonstrated at the showcase.</w:t>
      </w:r>
    </w:p>
    <w:p>
      <w:pPr>
        <w:pStyle w:val="Heading1"/>
        <w:pBdr>
          <w:bottom w:val="single" w:color="D9E2F3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Highest-risk seams (align, teams sequence)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Entitlement ↔ borrow ↔ offline: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borrow consumes a licence lease; offline download respects entitlement/concurrency; return/expiry releases the lease and locks offline content.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Sync ↔ offline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auth expiry ↔ offline lock: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offline annotations reconcile; expiring sessions lock protected content.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0000" w:sz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595959"/>
        <w:sz w:val="15"/>
        <w:szCs w:val="15"/>
      </w:rPr>
      <w:t xml:space="preserve">Taylor &amp; Francis  ·  Information Classification: General  ·  Eight-Week Prototype Plan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595959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2026-08-04T18:52:27.702Z</dcterms:created>
  <dcterms:modified xsi:type="dcterms:W3CDTF">2026-08-04T18:52:27.702Z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