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9792"/>
      </w:tblGrid>
      <w:tr w:rsidR="00A31D84" w14:paraId="65B60562" w14:textId="77777777">
        <w:tc>
          <w:tcPr>
            <w:tcW w:w="9792" w:type="dxa"/>
            <w:shd w:val="clear" w:color="auto" w:fill="13487F"/>
          </w:tcPr>
          <w:p w14:paraId="6737A2C4" w14:textId="77777777" w:rsidR="00A31D84" w:rsidRDefault="00000000">
            <w:pPr>
              <w:spacing w:before="480" w:after="80"/>
            </w:pPr>
            <w:r>
              <w:rPr>
                <w:b/>
                <w:color w:val="A9C9EE"/>
                <w:sz w:val="18"/>
              </w:rPr>
              <w:t xml:space="preserve">WEEKLY DELIVERY </w:t>
            </w:r>
            <w:proofErr w:type="gramStart"/>
            <w:r>
              <w:rPr>
                <w:b/>
                <w:color w:val="A9C9EE"/>
                <w:sz w:val="18"/>
              </w:rPr>
              <w:t>PLAN  ·</w:t>
            </w:r>
            <w:proofErr w:type="gramEnd"/>
            <w:r>
              <w:rPr>
                <w:b/>
                <w:color w:val="A9C9EE"/>
                <w:sz w:val="18"/>
              </w:rPr>
              <w:t xml:space="preserve">  DISCOVERY &amp; SELECTION</w:t>
            </w:r>
          </w:p>
          <w:p w14:paraId="5C6C14EA" w14:textId="77777777" w:rsidR="00A31D84" w:rsidRDefault="00000000">
            <w:pPr>
              <w:spacing w:after="120"/>
            </w:pPr>
            <w:r>
              <w:rPr>
                <w:rFonts w:ascii="Georgia" w:hAnsi="Georgia"/>
                <w:b/>
                <w:color w:val="FFFFFF"/>
                <w:sz w:val="54"/>
              </w:rPr>
              <w:t>What we deliver, week by week</w:t>
            </w:r>
          </w:p>
          <w:p w14:paraId="396B3B6F" w14:textId="77777777" w:rsidR="00A31D84" w:rsidRDefault="00000000">
            <w:pPr>
              <w:spacing w:after="360"/>
            </w:pPr>
            <w:r>
              <w:rPr>
                <w:color w:val="D4E3F6"/>
                <w:sz w:val="23"/>
              </w:rPr>
              <w:t>Deliverables per week, the assumptions they rest on, and what we need from other teams to hold the dates.</w:t>
            </w:r>
          </w:p>
          <w:p w14:paraId="61D3F6C6" w14:textId="77777777" w:rsidR="00A31D84" w:rsidRDefault="00000000">
            <w:pPr>
              <w:spacing w:after="60"/>
            </w:pPr>
            <w:r>
              <w:rPr>
                <w:b/>
                <w:color w:val="8FB4DE"/>
                <w:sz w:val="16"/>
              </w:rPr>
              <w:t xml:space="preserve">PROGRAMME   </w:t>
            </w:r>
            <w:r>
              <w:rPr>
                <w:color w:val="FFFFFF"/>
                <w:sz w:val="19"/>
              </w:rPr>
              <w:t>T&amp;F Reader — 8-Week Graduate Prototype</w:t>
            </w:r>
          </w:p>
          <w:p w14:paraId="1BAF07E3" w14:textId="77777777" w:rsidR="00A31D84" w:rsidRDefault="00000000">
            <w:pPr>
              <w:spacing w:after="60"/>
            </w:pPr>
            <w:r>
              <w:rPr>
                <w:b/>
                <w:color w:val="8FB4DE"/>
                <w:sz w:val="16"/>
              </w:rPr>
              <w:t xml:space="preserve">WE OWN   </w:t>
            </w:r>
            <w:r>
              <w:rPr>
                <w:color w:val="FFFFFF"/>
                <w:sz w:val="19"/>
              </w:rPr>
              <w:t>Institution listing · Institution selection · Catalogue browse · Unified search</w:t>
            </w:r>
          </w:p>
          <w:p w14:paraId="24CE4FE8" w14:textId="77777777" w:rsidR="00A31D84" w:rsidRDefault="00000000">
            <w:pPr>
              <w:spacing w:after="60"/>
            </w:pPr>
            <w:r>
              <w:rPr>
                <w:b/>
                <w:color w:val="8FB4DE"/>
                <w:sz w:val="16"/>
              </w:rPr>
              <w:t xml:space="preserve">TARGET   </w:t>
            </w:r>
            <w:r>
              <w:rPr>
                <w:color w:val="FFFFFF"/>
                <w:sz w:val="19"/>
              </w:rPr>
              <w:t>Feature-complete on mock data by end of Week 3 · integration closes Week 4</w:t>
            </w:r>
          </w:p>
          <w:p w14:paraId="19DC32DA" w14:textId="77777777" w:rsidR="00A31D84" w:rsidRDefault="00000000">
            <w:pPr>
              <w:spacing w:after="60"/>
            </w:pPr>
            <w:r>
              <w:rPr>
                <w:b/>
                <w:color w:val="8FB4DE"/>
                <w:sz w:val="16"/>
              </w:rPr>
              <w:t xml:space="preserve">WEEKS   </w:t>
            </w:r>
            <w:r>
              <w:rPr>
                <w:color w:val="FFFFFF"/>
                <w:sz w:val="19"/>
              </w:rPr>
              <w:t>W1 10–14 Aug · W2 17–21 Aug · W3 24–28 Aug · W4 31 Aug–4 Sep 2026</w:t>
            </w:r>
          </w:p>
          <w:p w14:paraId="2F97982F" w14:textId="77777777" w:rsidR="00A31D84" w:rsidRDefault="00A31D84">
            <w:pPr>
              <w:spacing w:after="320"/>
            </w:pPr>
          </w:p>
        </w:tc>
      </w:tr>
    </w:tbl>
    <w:p w14:paraId="12F9774B" w14:textId="77777777" w:rsidR="00A31D84" w:rsidRDefault="00A31D84"/>
    <w:p w14:paraId="076220F0" w14:textId="77777777" w:rsidR="00A31D84" w:rsidRDefault="00000000">
      <w:pPr>
        <w:spacing w:after="0"/>
      </w:pPr>
      <w:r>
        <w:rPr>
          <w:rFonts w:ascii="Consolas" w:hAnsi="Consolas"/>
          <w:b/>
          <w:color w:val="C8922F"/>
          <w:sz w:val="18"/>
        </w:rPr>
        <w:t>01</w:t>
      </w:r>
    </w:p>
    <w:p w14:paraId="5A963C80" w14:textId="77777777" w:rsidR="00A31D84" w:rsidRDefault="00000000">
      <w:pPr>
        <w:spacing w:after="160"/>
      </w:pPr>
      <w:r>
        <w:rPr>
          <w:rFonts w:ascii="Georgia" w:hAnsi="Georgia"/>
          <w:b/>
          <w:color w:val="0D3562"/>
          <w:sz w:val="38"/>
        </w:rPr>
        <w:t>What we are building</w:t>
      </w:r>
    </w:p>
    <w:p w14:paraId="509BE5DF" w14:textId="77777777" w:rsidR="00A31D84" w:rsidRDefault="00000000">
      <w:pPr>
        <w:spacing w:after="120"/>
      </w:pPr>
      <w:r>
        <w:t>Six areas. Everything in them is working against mock data by the end of Week 3; integration with the real services runs through Week 4.</w:t>
      </w:r>
    </w:p>
    <w:tbl>
      <w:tblPr>
        <w:tblStyle w:val="TableGrid"/>
        <w:tblW w:w="0" w:type="auto"/>
        <w:jc w:val="center"/>
        <w:tblLook w:val="04A0" w:firstRow="1" w:lastRow="0" w:firstColumn="1" w:lastColumn="0" w:noHBand="0" w:noVBand="1"/>
      </w:tblPr>
      <w:tblGrid>
        <w:gridCol w:w="1500"/>
        <w:gridCol w:w="8282"/>
      </w:tblGrid>
      <w:tr w:rsidR="00A31D84" w14:paraId="4292A8BF" w14:textId="77777777">
        <w:trPr>
          <w:jc w:val="center"/>
        </w:trPr>
        <w:tc>
          <w:tcPr>
            <w:tcW w:w="1500" w:type="dxa"/>
            <w:shd w:val="clear" w:color="auto" w:fill="13487F"/>
          </w:tcPr>
          <w:p w14:paraId="07CE8105" w14:textId="77777777" w:rsidR="00A31D84" w:rsidRDefault="00000000">
            <w:pPr>
              <w:spacing w:before="40" w:after="40"/>
            </w:pPr>
            <w:r>
              <w:rPr>
                <w:b/>
                <w:color w:val="FFFFFF"/>
                <w:sz w:val="17"/>
              </w:rPr>
              <w:t>Area</w:t>
            </w:r>
          </w:p>
        </w:tc>
        <w:tc>
          <w:tcPr>
            <w:tcW w:w="8292" w:type="dxa"/>
            <w:shd w:val="clear" w:color="auto" w:fill="13487F"/>
          </w:tcPr>
          <w:p w14:paraId="18384A9A" w14:textId="77777777" w:rsidR="00A31D84" w:rsidRDefault="00000000">
            <w:pPr>
              <w:spacing w:before="40" w:after="40"/>
            </w:pPr>
            <w:r>
              <w:rPr>
                <w:b/>
                <w:color w:val="FFFFFF"/>
                <w:sz w:val="17"/>
              </w:rPr>
              <w:t>What it covers</w:t>
            </w:r>
          </w:p>
        </w:tc>
      </w:tr>
      <w:tr w:rsidR="00A31D84" w14:paraId="4DBC18E2" w14:textId="77777777">
        <w:trPr>
          <w:jc w:val="center"/>
        </w:trPr>
        <w:tc>
          <w:tcPr>
            <w:tcW w:w="1500" w:type="dxa"/>
          </w:tcPr>
          <w:p w14:paraId="0F608713" w14:textId="77777777" w:rsidR="00A31D84" w:rsidRDefault="00000000">
            <w:pPr>
              <w:spacing w:before="40" w:after="40"/>
            </w:pPr>
            <w:r>
              <w:rPr>
                <w:b/>
                <w:color w:val="13487F"/>
                <w:sz w:val="18"/>
              </w:rPr>
              <w:t>Catalogue</w:t>
            </w:r>
          </w:p>
        </w:tc>
        <w:tc>
          <w:tcPr>
            <w:tcW w:w="8292" w:type="dxa"/>
          </w:tcPr>
          <w:p w14:paraId="052A95A9" w14:textId="77777777" w:rsidR="00A31D84" w:rsidRDefault="00000000">
            <w:pPr>
              <w:spacing w:before="40" w:after="40"/>
            </w:pPr>
            <w:r>
              <w:rPr>
                <w:color w:val="16233B"/>
                <w:sz w:val="18"/>
              </w:rPr>
              <w:t>Browse three OPDS feeds — Books, Journals, Audiobooks — as three tabs, each paginated. Full catalogue before sign-in, scoped to entitlements after.</w:t>
            </w:r>
          </w:p>
        </w:tc>
      </w:tr>
      <w:tr w:rsidR="00A31D84" w14:paraId="172E9268" w14:textId="77777777">
        <w:trPr>
          <w:jc w:val="center"/>
        </w:trPr>
        <w:tc>
          <w:tcPr>
            <w:tcW w:w="1500" w:type="dxa"/>
          </w:tcPr>
          <w:p w14:paraId="4413818C" w14:textId="77777777" w:rsidR="00A31D84" w:rsidRDefault="00000000">
            <w:pPr>
              <w:spacing w:before="40" w:after="40"/>
            </w:pPr>
            <w:r>
              <w:rPr>
                <w:b/>
                <w:color w:val="13487F"/>
                <w:sz w:val="18"/>
              </w:rPr>
              <w:t>Search &amp; filter</w:t>
            </w:r>
          </w:p>
        </w:tc>
        <w:tc>
          <w:tcPr>
            <w:tcW w:w="8292" w:type="dxa"/>
          </w:tcPr>
          <w:p w14:paraId="3B5DC3D5" w14:textId="77777777" w:rsidR="00A31D84" w:rsidRDefault="00000000">
            <w:pPr>
              <w:spacing w:before="40" w:after="40"/>
            </w:pPr>
            <w:r>
              <w:rPr>
                <w:color w:val="16233B"/>
                <w:sz w:val="18"/>
              </w:rPr>
              <w:t>Search on title, author and subject, with exact match on DOI and ISBN. Filters for content type, subject, publisher, year, access state and Open Access. Sort, result count, and voice input.</w:t>
            </w:r>
          </w:p>
        </w:tc>
      </w:tr>
      <w:tr w:rsidR="00A31D84" w14:paraId="663CFE21" w14:textId="77777777">
        <w:trPr>
          <w:jc w:val="center"/>
        </w:trPr>
        <w:tc>
          <w:tcPr>
            <w:tcW w:w="1500" w:type="dxa"/>
          </w:tcPr>
          <w:p w14:paraId="70B352F4" w14:textId="77777777" w:rsidR="00A31D84" w:rsidRDefault="00000000">
            <w:pPr>
              <w:spacing w:before="40" w:after="40"/>
            </w:pPr>
            <w:r>
              <w:rPr>
                <w:b/>
                <w:color w:val="13487F"/>
                <w:sz w:val="18"/>
              </w:rPr>
              <w:t>Institutions</w:t>
            </w:r>
          </w:p>
        </w:tc>
        <w:tc>
          <w:tcPr>
            <w:tcW w:w="8292" w:type="dxa"/>
          </w:tcPr>
          <w:p w14:paraId="2A825D2B" w14:textId="77777777" w:rsidR="00A31D84" w:rsidRDefault="00000000">
            <w:pPr>
              <w:spacing w:before="40" w:after="40"/>
            </w:pPr>
            <w:r>
              <w:rPr>
                <w:color w:val="16233B"/>
                <w:sz w:val="18"/>
              </w:rPr>
              <w:t>Browse and search institutions, view detail, select one, remember it, change or clear it, and route to the right sign-in.</w:t>
            </w:r>
          </w:p>
        </w:tc>
      </w:tr>
      <w:tr w:rsidR="00A31D84" w14:paraId="1BC7757C" w14:textId="77777777">
        <w:trPr>
          <w:jc w:val="center"/>
        </w:trPr>
        <w:tc>
          <w:tcPr>
            <w:tcW w:w="1500" w:type="dxa"/>
          </w:tcPr>
          <w:p w14:paraId="4CEE2B14" w14:textId="77777777" w:rsidR="00A31D84" w:rsidRDefault="00000000">
            <w:pPr>
              <w:spacing w:before="40" w:after="40"/>
            </w:pPr>
            <w:r>
              <w:rPr>
                <w:b/>
                <w:color w:val="13487F"/>
                <w:sz w:val="18"/>
              </w:rPr>
              <w:t>Access &amp; actions</w:t>
            </w:r>
          </w:p>
        </w:tc>
        <w:tc>
          <w:tcPr>
            <w:tcW w:w="8292" w:type="dxa"/>
          </w:tcPr>
          <w:p w14:paraId="67F7781A" w14:textId="77777777" w:rsidR="00A31D84" w:rsidRDefault="00000000">
            <w:pPr>
              <w:spacing w:before="40" w:after="40"/>
            </w:pPr>
            <w:r>
              <w:rPr>
                <w:color w:val="16233B"/>
                <w:sz w:val="18"/>
              </w:rPr>
              <w:t xml:space="preserve">One rule deciding the single action on every item — Read, Download, Borrow, Subscribe, </w:t>
            </w:r>
            <w:proofErr w:type="gramStart"/>
            <w:r>
              <w:rPr>
                <w:color w:val="16233B"/>
                <w:sz w:val="18"/>
              </w:rPr>
              <w:t>Sign</w:t>
            </w:r>
            <w:proofErr w:type="gramEnd"/>
            <w:r>
              <w:rPr>
                <w:color w:val="16233B"/>
                <w:sz w:val="18"/>
              </w:rPr>
              <w:t xml:space="preserve"> in or Waitlist — and the loan that Borrow creates.</w:t>
            </w:r>
          </w:p>
        </w:tc>
      </w:tr>
      <w:tr w:rsidR="00A31D84" w14:paraId="2B9039BE" w14:textId="77777777">
        <w:trPr>
          <w:jc w:val="center"/>
        </w:trPr>
        <w:tc>
          <w:tcPr>
            <w:tcW w:w="1500" w:type="dxa"/>
          </w:tcPr>
          <w:p w14:paraId="4DF2C913" w14:textId="77777777" w:rsidR="00A31D84" w:rsidRDefault="00000000">
            <w:pPr>
              <w:spacing w:before="40" w:after="40"/>
            </w:pPr>
            <w:r>
              <w:rPr>
                <w:b/>
                <w:color w:val="13487F"/>
                <w:sz w:val="18"/>
              </w:rPr>
              <w:t>Item detail</w:t>
            </w:r>
          </w:p>
        </w:tc>
        <w:tc>
          <w:tcPr>
            <w:tcW w:w="8292" w:type="dxa"/>
          </w:tcPr>
          <w:p w14:paraId="7618AC20" w14:textId="77777777" w:rsidR="00A31D84" w:rsidRDefault="00000000">
            <w:pPr>
              <w:spacing w:before="40" w:after="40"/>
            </w:pPr>
            <w:r>
              <w:rPr>
                <w:color w:val="16233B"/>
                <w:sz w:val="18"/>
              </w:rPr>
              <w:t>Full metadata for books, journals, articles and audio, with the same action model as the list.</w:t>
            </w:r>
          </w:p>
        </w:tc>
      </w:tr>
      <w:tr w:rsidR="00A31D84" w14:paraId="0E13C684" w14:textId="77777777">
        <w:trPr>
          <w:jc w:val="center"/>
        </w:trPr>
        <w:tc>
          <w:tcPr>
            <w:tcW w:w="1500" w:type="dxa"/>
          </w:tcPr>
          <w:p w14:paraId="5703FA13" w14:textId="77777777" w:rsidR="00A31D84" w:rsidRDefault="00000000">
            <w:pPr>
              <w:spacing w:before="40" w:after="40"/>
            </w:pPr>
            <w:r>
              <w:rPr>
                <w:b/>
                <w:color w:val="13487F"/>
                <w:sz w:val="18"/>
              </w:rPr>
              <w:t>App &amp; states</w:t>
            </w:r>
          </w:p>
        </w:tc>
        <w:tc>
          <w:tcPr>
            <w:tcW w:w="8292" w:type="dxa"/>
          </w:tcPr>
          <w:p w14:paraId="4E9D92C1" w14:textId="77777777" w:rsidR="00A31D84" w:rsidRDefault="00000000">
            <w:pPr>
              <w:spacing w:before="40" w:after="40"/>
            </w:pPr>
            <w:r>
              <w:rPr>
                <w:color w:val="16233B"/>
                <w:sz w:val="18"/>
              </w:rPr>
              <w:t>Shell, navigation, shared components, and the loading, empty, error and offline states across every surface.</w:t>
            </w:r>
          </w:p>
        </w:tc>
      </w:tr>
    </w:tbl>
    <w:p w14:paraId="27B3659C" w14:textId="77777777" w:rsidR="00A31D84" w:rsidRDefault="00A31D84">
      <w:pPr>
        <w:spacing w:after="160"/>
      </w:pPr>
    </w:p>
    <w:tbl>
      <w:tblPr>
        <w:tblW w:w="0" w:type="auto"/>
        <w:jc w:val="center"/>
        <w:tblLook w:val="04A0" w:firstRow="1" w:lastRow="0" w:firstColumn="1" w:lastColumn="0" w:noHBand="0" w:noVBand="1"/>
      </w:tblPr>
      <w:tblGrid>
        <w:gridCol w:w="9757"/>
      </w:tblGrid>
      <w:tr w:rsidR="00A31D84" w14:paraId="2C824069" w14:textId="77777777">
        <w:trPr>
          <w:jc w:val="center"/>
        </w:trPr>
        <w:tc>
          <w:tcPr>
            <w:tcW w:w="9792" w:type="dxa"/>
            <w:tcBorders>
              <w:top w:val="single" w:sz="4" w:space="0" w:color="E9F1FB"/>
              <w:left w:val="single" w:sz="24" w:space="0" w:color="13487F"/>
              <w:bottom w:val="single" w:sz="4" w:space="0" w:color="E9F1FB"/>
              <w:right w:val="single" w:sz="4" w:space="0" w:color="E9F1FB"/>
            </w:tcBorders>
            <w:shd w:val="clear" w:color="auto" w:fill="E9F1FB"/>
          </w:tcPr>
          <w:p w14:paraId="284DD93B" w14:textId="77777777" w:rsidR="00A31D84" w:rsidRDefault="00000000">
            <w:pPr>
              <w:spacing w:after="40"/>
            </w:pPr>
            <w:r>
              <w:rPr>
                <w:b/>
                <w:color w:val="13487F"/>
                <w:sz w:val="17"/>
              </w:rPr>
              <w:t>WHAT WE ARE NOT BUILDING</w:t>
            </w:r>
          </w:p>
          <w:p w14:paraId="4D9371D1" w14:textId="77777777" w:rsidR="00A31D84" w:rsidRDefault="00000000">
            <w:pPr>
              <w:spacing w:after="40"/>
            </w:pPr>
            <w:r>
              <w:rPr>
                <w:sz w:val="19"/>
              </w:rPr>
              <w:t>The reader itself and the downloads library belong to the reader team. Authentication screens and the borrow service belong to the authentication team. The catalogue feeds and institution data belong to the catalogue team. We call all three; we do not build them. A purchase or Buy flow is out of scope for the prototype entirely.</w:t>
            </w:r>
          </w:p>
        </w:tc>
      </w:tr>
    </w:tbl>
    <w:p w14:paraId="1BEDBBB0" w14:textId="77777777" w:rsidR="00A31D84" w:rsidRDefault="00A31D84">
      <w:pPr>
        <w:spacing w:after="160"/>
      </w:pPr>
    </w:p>
    <w:p w14:paraId="0A46039E" w14:textId="77777777" w:rsidR="00A31D84" w:rsidRDefault="00000000">
      <w:pPr>
        <w:spacing w:after="0"/>
      </w:pPr>
      <w:r>
        <w:rPr>
          <w:rFonts w:ascii="Consolas" w:hAnsi="Consolas"/>
          <w:b/>
          <w:color w:val="C8922F"/>
          <w:sz w:val="18"/>
        </w:rPr>
        <w:t>02</w:t>
      </w:r>
    </w:p>
    <w:p w14:paraId="3B056C1C" w14:textId="77777777" w:rsidR="00A31D84" w:rsidRDefault="00000000">
      <w:pPr>
        <w:spacing w:after="160"/>
      </w:pPr>
      <w:r>
        <w:rPr>
          <w:rFonts w:ascii="Georgia" w:hAnsi="Georgia"/>
          <w:b/>
          <w:color w:val="0D3562"/>
          <w:sz w:val="38"/>
        </w:rPr>
        <w:t>What we are assuming</w:t>
      </w:r>
    </w:p>
    <w:p w14:paraId="5A11525A" w14:textId="77777777" w:rsidR="00A31D84" w:rsidRDefault="00000000">
      <w:pPr>
        <w:spacing w:after="120"/>
      </w:pPr>
      <w:r>
        <w:rPr>
          <w:b/>
          <w:color w:val="16233B"/>
        </w:rPr>
        <w:lastRenderedPageBreak/>
        <w:t>Every assumption below is currently unconfirmed.</w:t>
      </w:r>
      <w:r>
        <w:t xml:space="preserve"> Each one is already built against a stub, so none of them blocks us — but if one turns out wrong, the work it touches is reshaped rather than merely extended. They are listed roughly in order of how much would change.</w:t>
      </w:r>
    </w:p>
    <w:tbl>
      <w:tblPr>
        <w:tblStyle w:val="TableGrid"/>
        <w:tblW w:w="0" w:type="auto"/>
        <w:jc w:val="center"/>
        <w:tblLook w:val="04A0" w:firstRow="1" w:lastRow="0" w:firstColumn="1" w:lastColumn="0" w:noHBand="0" w:noVBand="1"/>
      </w:tblPr>
      <w:tblGrid>
        <w:gridCol w:w="424"/>
        <w:gridCol w:w="5379"/>
        <w:gridCol w:w="3979"/>
      </w:tblGrid>
      <w:tr w:rsidR="00A31D84" w14:paraId="78FD6711" w14:textId="77777777">
        <w:trPr>
          <w:jc w:val="center"/>
        </w:trPr>
        <w:tc>
          <w:tcPr>
            <w:tcW w:w="400" w:type="dxa"/>
            <w:shd w:val="clear" w:color="auto" w:fill="13487F"/>
          </w:tcPr>
          <w:p w14:paraId="65911AEA" w14:textId="77777777" w:rsidR="00A31D84" w:rsidRDefault="00000000">
            <w:pPr>
              <w:spacing w:before="40" w:after="40"/>
            </w:pPr>
            <w:r>
              <w:rPr>
                <w:b/>
                <w:color w:val="FFFFFF"/>
                <w:sz w:val="17"/>
              </w:rPr>
              <w:t>#</w:t>
            </w:r>
          </w:p>
        </w:tc>
        <w:tc>
          <w:tcPr>
            <w:tcW w:w="5400" w:type="dxa"/>
            <w:shd w:val="clear" w:color="auto" w:fill="13487F"/>
          </w:tcPr>
          <w:p w14:paraId="0AC26325" w14:textId="77777777" w:rsidR="00A31D84" w:rsidRDefault="00000000">
            <w:pPr>
              <w:spacing w:before="40" w:after="40"/>
            </w:pPr>
            <w:r>
              <w:rPr>
                <w:b/>
                <w:color w:val="FFFFFF"/>
                <w:sz w:val="17"/>
              </w:rPr>
              <w:t>Assumption</w:t>
            </w:r>
          </w:p>
        </w:tc>
        <w:tc>
          <w:tcPr>
            <w:tcW w:w="3992" w:type="dxa"/>
            <w:shd w:val="clear" w:color="auto" w:fill="13487F"/>
          </w:tcPr>
          <w:p w14:paraId="5E6237A4" w14:textId="77777777" w:rsidR="00A31D84" w:rsidRDefault="00000000">
            <w:pPr>
              <w:spacing w:before="40" w:after="40"/>
            </w:pPr>
            <w:r>
              <w:rPr>
                <w:b/>
                <w:color w:val="FFFFFF"/>
                <w:sz w:val="17"/>
              </w:rPr>
              <w:t>If it is wrong</w:t>
            </w:r>
          </w:p>
        </w:tc>
      </w:tr>
      <w:tr w:rsidR="00A31D84" w14:paraId="2FCA766A" w14:textId="77777777">
        <w:trPr>
          <w:jc w:val="center"/>
        </w:trPr>
        <w:tc>
          <w:tcPr>
            <w:tcW w:w="400" w:type="dxa"/>
          </w:tcPr>
          <w:p w14:paraId="2C67E4DF" w14:textId="77777777" w:rsidR="00A31D84" w:rsidRDefault="00000000">
            <w:pPr>
              <w:spacing w:before="40" w:after="40"/>
            </w:pPr>
            <w:r>
              <w:rPr>
                <w:b/>
                <w:color w:val="13487F"/>
                <w:sz w:val="18"/>
              </w:rPr>
              <w:t>1</w:t>
            </w:r>
          </w:p>
        </w:tc>
        <w:tc>
          <w:tcPr>
            <w:tcW w:w="5400" w:type="dxa"/>
          </w:tcPr>
          <w:p w14:paraId="28C415DB" w14:textId="77777777" w:rsidR="00A31D84" w:rsidRDefault="00000000">
            <w:pPr>
              <w:spacing w:before="40" w:after="40"/>
            </w:pPr>
            <w:r>
              <w:rPr>
                <w:color w:val="16233B"/>
                <w:sz w:val="18"/>
              </w:rPr>
              <w:t>The catalogue team can serve a full catalogue to a user who is not signed in</w:t>
            </w:r>
          </w:p>
        </w:tc>
        <w:tc>
          <w:tcPr>
            <w:tcW w:w="3992" w:type="dxa"/>
          </w:tcPr>
          <w:p w14:paraId="05873A0B" w14:textId="77777777" w:rsidR="00A31D84" w:rsidRDefault="00000000">
            <w:pPr>
              <w:spacing w:before="40" w:after="40"/>
            </w:pPr>
            <w:r>
              <w:rPr>
                <w:color w:val="16233B"/>
                <w:sz w:val="18"/>
              </w:rPr>
              <w:t>The whole browse-first model changes. This is the single biggest one.</w:t>
            </w:r>
          </w:p>
        </w:tc>
      </w:tr>
      <w:tr w:rsidR="00A31D84" w14:paraId="612E8F5B" w14:textId="77777777">
        <w:trPr>
          <w:jc w:val="center"/>
        </w:trPr>
        <w:tc>
          <w:tcPr>
            <w:tcW w:w="400" w:type="dxa"/>
          </w:tcPr>
          <w:p w14:paraId="052D7FC0" w14:textId="77777777" w:rsidR="00A31D84" w:rsidRDefault="00000000">
            <w:pPr>
              <w:spacing w:before="40" w:after="40"/>
            </w:pPr>
            <w:r>
              <w:rPr>
                <w:b/>
                <w:color w:val="13487F"/>
                <w:sz w:val="18"/>
              </w:rPr>
              <w:t>2</w:t>
            </w:r>
          </w:p>
        </w:tc>
        <w:tc>
          <w:tcPr>
            <w:tcW w:w="5400" w:type="dxa"/>
          </w:tcPr>
          <w:p w14:paraId="3D8AA7EA" w14:textId="77777777" w:rsidR="00A31D84" w:rsidRDefault="00000000">
            <w:pPr>
              <w:spacing w:before="40" w:after="40"/>
            </w:pPr>
            <w:r>
              <w:rPr>
                <w:color w:val="16233B"/>
                <w:sz w:val="18"/>
              </w:rPr>
              <w:t>They will add a per-item field telling us the access tier — Open Access, Subscription or Elite. OPDS has no equivalent, so this is something they must add rather than expose</w:t>
            </w:r>
          </w:p>
        </w:tc>
        <w:tc>
          <w:tcPr>
            <w:tcW w:w="3992" w:type="dxa"/>
          </w:tcPr>
          <w:p w14:paraId="0B589A92" w14:textId="77777777" w:rsidR="00A31D84" w:rsidRDefault="00000000">
            <w:pPr>
              <w:spacing w:before="40" w:after="40"/>
            </w:pPr>
            <w:r>
              <w:rPr>
                <w:color w:val="16233B"/>
                <w:sz w:val="18"/>
              </w:rPr>
              <w:t>No access states, no badges, no correct action anywhere. Longest lead time of anything we are asking for.</w:t>
            </w:r>
          </w:p>
        </w:tc>
      </w:tr>
      <w:tr w:rsidR="00A31D84" w14:paraId="30128202" w14:textId="77777777">
        <w:trPr>
          <w:jc w:val="center"/>
        </w:trPr>
        <w:tc>
          <w:tcPr>
            <w:tcW w:w="400" w:type="dxa"/>
          </w:tcPr>
          <w:p w14:paraId="523E785D" w14:textId="77777777" w:rsidR="00A31D84" w:rsidRDefault="00000000">
            <w:pPr>
              <w:spacing w:before="40" w:after="40"/>
            </w:pPr>
            <w:r>
              <w:rPr>
                <w:b/>
                <w:color w:val="13487F"/>
                <w:sz w:val="18"/>
              </w:rPr>
              <w:t>3</w:t>
            </w:r>
          </w:p>
        </w:tc>
        <w:tc>
          <w:tcPr>
            <w:tcW w:w="5400" w:type="dxa"/>
          </w:tcPr>
          <w:p w14:paraId="419C6D9D" w14:textId="77777777" w:rsidR="00A31D84" w:rsidRDefault="00000000">
            <w:pPr>
              <w:spacing w:before="40" w:after="40"/>
            </w:pPr>
            <w:r>
              <w:rPr>
                <w:color w:val="16233B"/>
                <w:sz w:val="18"/>
              </w:rPr>
              <w:t>After sign-in we receive a feed already scoped to entitlements, or a full feed with flags we can filter on</w:t>
            </w:r>
          </w:p>
        </w:tc>
        <w:tc>
          <w:tcPr>
            <w:tcW w:w="3992" w:type="dxa"/>
          </w:tcPr>
          <w:p w14:paraId="2925F41B" w14:textId="77777777" w:rsidR="00A31D84" w:rsidRDefault="00000000">
            <w:pPr>
              <w:spacing w:before="40" w:after="40"/>
            </w:pPr>
            <w:r>
              <w:rPr>
                <w:color w:val="16233B"/>
                <w:sz w:val="18"/>
              </w:rPr>
              <w:t>We filter locally. Slower, but workable.</w:t>
            </w:r>
          </w:p>
        </w:tc>
      </w:tr>
      <w:tr w:rsidR="00A31D84" w14:paraId="4882A995" w14:textId="77777777">
        <w:trPr>
          <w:jc w:val="center"/>
        </w:trPr>
        <w:tc>
          <w:tcPr>
            <w:tcW w:w="400" w:type="dxa"/>
          </w:tcPr>
          <w:p w14:paraId="5112442B" w14:textId="77777777" w:rsidR="00A31D84" w:rsidRDefault="00000000">
            <w:pPr>
              <w:spacing w:before="40" w:after="40"/>
            </w:pPr>
            <w:r>
              <w:rPr>
                <w:b/>
                <w:color w:val="13487F"/>
                <w:sz w:val="18"/>
              </w:rPr>
              <w:t>4</w:t>
            </w:r>
          </w:p>
        </w:tc>
        <w:tc>
          <w:tcPr>
            <w:tcW w:w="5400" w:type="dxa"/>
          </w:tcPr>
          <w:p w14:paraId="44CDFD5D" w14:textId="77777777" w:rsidR="00A31D84" w:rsidRDefault="00000000">
            <w:pPr>
              <w:spacing w:before="40" w:after="40"/>
            </w:pPr>
            <w:r>
              <w:rPr>
                <w:color w:val="16233B"/>
                <w:sz w:val="18"/>
              </w:rPr>
              <w:t>The three feeds are split by content type and shown as three tabs, not merged into one list</w:t>
            </w:r>
          </w:p>
        </w:tc>
        <w:tc>
          <w:tcPr>
            <w:tcW w:w="3992" w:type="dxa"/>
          </w:tcPr>
          <w:p w14:paraId="2D7DA729" w14:textId="77777777" w:rsidR="00A31D84" w:rsidRDefault="00000000">
            <w:pPr>
              <w:spacing w:before="40" w:after="40"/>
            </w:pPr>
            <w:r>
              <w:rPr>
                <w:color w:val="16233B"/>
                <w:sz w:val="18"/>
              </w:rPr>
              <w:t>Merging means cross-feed deduplication, merged pagination and re-ranking three result sets that cannot be compared. Significant added work.</w:t>
            </w:r>
          </w:p>
        </w:tc>
      </w:tr>
      <w:tr w:rsidR="00A31D84" w14:paraId="0D89D673" w14:textId="77777777">
        <w:trPr>
          <w:jc w:val="center"/>
        </w:trPr>
        <w:tc>
          <w:tcPr>
            <w:tcW w:w="400" w:type="dxa"/>
          </w:tcPr>
          <w:p w14:paraId="57B0A33A" w14:textId="77777777" w:rsidR="00A31D84" w:rsidRDefault="00000000">
            <w:pPr>
              <w:spacing w:before="40" w:after="40"/>
            </w:pPr>
            <w:r>
              <w:rPr>
                <w:b/>
                <w:color w:val="13487F"/>
                <w:sz w:val="18"/>
              </w:rPr>
              <w:t>5</w:t>
            </w:r>
          </w:p>
        </w:tc>
        <w:tc>
          <w:tcPr>
            <w:tcW w:w="5400" w:type="dxa"/>
          </w:tcPr>
          <w:p w14:paraId="2E72C9B4" w14:textId="77777777" w:rsidR="00A31D84" w:rsidRDefault="00000000">
            <w:pPr>
              <w:spacing w:before="40" w:after="40"/>
            </w:pPr>
            <w:r>
              <w:rPr>
                <w:color w:val="16233B"/>
                <w:sz w:val="18"/>
              </w:rPr>
              <w:t>Articles sit inside the Journals feed, and that feed is flat rather than nested by volume and issue</w:t>
            </w:r>
          </w:p>
        </w:tc>
        <w:tc>
          <w:tcPr>
            <w:tcW w:w="3992" w:type="dxa"/>
          </w:tcPr>
          <w:p w14:paraId="04B0CBDF" w14:textId="77777777" w:rsidR="00A31D84" w:rsidRDefault="00000000">
            <w:pPr>
              <w:spacing w:before="40" w:after="40"/>
            </w:pPr>
            <w:r>
              <w:rPr>
                <w:color w:val="16233B"/>
                <w:sz w:val="18"/>
              </w:rPr>
              <w:t>Detail and navigation change for journals and articles.</w:t>
            </w:r>
          </w:p>
        </w:tc>
      </w:tr>
      <w:tr w:rsidR="00A31D84" w14:paraId="5D133802" w14:textId="77777777">
        <w:trPr>
          <w:jc w:val="center"/>
        </w:trPr>
        <w:tc>
          <w:tcPr>
            <w:tcW w:w="400" w:type="dxa"/>
          </w:tcPr>
          <w:p w14:paraId="7BF4A23C" w14:textId="77777777" w:rsidR="00A31D84" w:rsidRDefault="00000000">
            <w:pPr>
              <w:spacing w:before="40" w:after="40"/>
            </w:pPr>
            <w:r>
              <w:rPr>
                <w:b/>
                <w:color w:val="13487F"/>
                <w:sz w:val="18"/>
              </w:rPr>
              <w:t>6</w:t>
            </w:r>
          </w:p>
        </w:tc>
        <w:tc>
          <w:tcPr>
            <w:tcW w:w="5400" w:type="dxa"/>
          </w:tcPr>
          <w:p w14:paraId="7300DB4B" w14:textId="77777777" w:rsidR="00A31D84" w:rsidRDefault="00000000">
            <w:pPr>
              <w:spacing w:before="40" w:after="40"/>
            </w:pPr>
            <w:r>
              <w:rPr>
                <w:color w:val="16233B"/>
                <w:sz w:val="18"/>
              </w:rPr>
              <w:t>Search matching, ranking, sorting and filtering are ours to build. OPDS supplies only a search link</w:t>
            </w:r>
          </w:p>
        </w:tc>
        <w:tc>
          <w:tcPr>
            <w:tcW w:w="3992" w:type="dxa"/>
          </w:tcPr>
          <w:p w14:paraId="02E9C40F" w14:textId="77777777" w:rsidR="00A31D84" w:rsidRDefault="00000000">
            <w:pPr>
              <w:spacing w:before="40" w:after="40"/>
            </w:pPr>
            <w:r>
              <w:rPr>
                <w:color w:val="16233B"/>
                <w:sz w:val="18"/>
              </w:rPr>
              <w:t>If the catalogue team can rank server-side, we do less. Assuming we build it is the safe direction.</w:t>
            </w:r>
          </w:p>
        </w:tc>
      </w:tr>
      <w:tr w:rsidR="00A31D84" w14:paraId="03713DD4" w14:textId="77777777">
        <w:trPr>
          <w:jc w:val="center"/>
        </w:trPr>
        <w:tc>
          <w:tcPr>
            <w:tcW w:w="400" w:type="dxa"/>
          </w:tcPr>
          <w:p w14:paraId="45588649" w14:textId="77777777" w:rsidR="00A31D84" w:rsidRDefault="00000000">
            <w:pPr>
              <w:spacing w:before="40" w:after="40"/>
            </w:pPr>
            <w:r>
              <w:rPr>
                <w:b/>
                <w:color w:val="13487F"/>
                <w:sz w:val="18"/>
              </w:rPr>
              <w:t>7</w:t>
            </w:r>
          </w:p>
        </w:tc>
        <w:tc>
          <w:tcPr>
            <w:tcW w:w="5400" w:type="dxa"/>
          </w:tcPr>
          <w:p w14:paraId="70247C07" w14:textId="77777777" w:rsidR="00A31D84" w:rsidRDefault="00000000">
            <w:pPr>
              <w:spacing w:before="40" w:after="40"/>
            </w:pPr>
            <w:r>
              <w:rPr>
                <w:color w:val="16233B"/>
                <w:sz w:val="18"/>
              </w:rPr>
              <w:t>Institution data has no OPDS equivalent, so we define its shape and they confirm it</w:t>
            </w:r>
          </w:p>
        </w:tc>
        <w:tc>
          <w:tcPr>
            <w:tcW w:w="3992" w:type="dxa"/>
          </w:tcPr>
          <w:p w14:paraId="42B70CC2" w14:textId="77777777" w:rsidR="00A31D84" w:rsidRDefault="00000000">
            <w:pPr>
              <w:spacing w:before="40" w:after="40"/>
            </w:pPr>
            <w:r>
              <w:rPr>
                <w:color w:val="16233B"/>
                <w:sz w:val="18"/>
              </w:rPr>
              <w:t>We adopt their shape instead. Low cost.</w:t>
            </w:r>
          </w:p>
        </w:tc>
      </w:tr>
      <w:tr w:rsidR="00A31D84" w14:paraId="2E93282B" w14:textId="77777777">
        <w:trPr>
          <w:jc w:val="center"/>
        </w:trPr>
        <w:tc>
          <w:tcPr>
            <w:tcW w:w="400" w:type="dxa"/>
          </w:tcPr>
          <w:p w14:paraId="2A5DAF34" w14:textId="77777777" w:rsidR="00A31D84" w:rsidRDefault="00000000">
            <w:pPr>
              <w:spacing w:before="40" w:after="40"/>
            </w:pPr>
            <w:r>
              <w:rPr>
                <w:b/>
                <w:color w:val="13487F"/>
                <w:sz w:val="18"/>
              </w:rPr>
              <w:t>8</w:t>
            </w:r>
          </w:p>
        </w:tc>
        <w:tc>
          <w:tcPr>
            <w:tcW w:w="5400" w:type="dxa"/>
          </w:tcPr>
          <w:p w14:paraId="671738C7" w14:textId="77777777" w:rsidR="00A31D84" w:rsidRDefault="00000000">
            <w:pPr>
              <w:spacing w:before="40" w:after="40"/>
            </w:pPr>
            <w:r>
              <w:rPr>
                <w:color w:val="16233B"/>
                <w:sz w:val="18"/>
              </w:rPr>
              <w:t>A loan is needed for anything the user can take a copy of. Open Access and Subscription need Borrow first; Elite is read-only so never does</w:t>
            </w:r>
          </w:p>
        </w:tc>
        <w:tc>
          <w:tcPr>
            <w:tcW w:w="3992" w:type="dxa"/>
          </w:tcPr>
          <w:p w14:paraId="00EA10CD" w14:textId="77777777" w:rsidR="00A31D84" w:rsidRDefault="00000000">
            <w:pPr>
              <w:spacing w:before="40" w:after="40"/>
            </w:pPr>
            <w:r>
              <w:rPr>
                <w:color w:val="16233B"/>
                <w:sz w:val="18"/>
              </w:rPr>
              <w:t>The action model changes on every screen.</w:t>
            </w:r>
          </w:p>
        </w:tc>
      </w:tr>
      <w:tr w:rsidR="00A31D84" w14:paraId="6CE2D9D2" w14:textId="77777777">
        <w:trPr>
          <w:jc w:val="center"/>
        </w:trPr>
        <w:tc>
          <w:tcPr>
            <w:tcW w:w="400" w:type="dxa"/>
          </w:tcPr>
          <w:p w14:paraId="5E78CD17" w14:textId="77777777" w:rsidR="00A31D84" w:rsidRDefault="00000000">
            <w:pPr>
              <w:spacing w:before="40" w:after="40"/>
            </w:pPr>
            <w:r>
              <w:rPr>
                <w:b/>
                <w:color w:val="13487F"/>
                <w:sz w:val="18"/>
              </w:rPr>
              <w:t>9</w:t>
            </w:r>
          </w:p>
        </w:tc>
        <w:tc>
          <w:tcPr>
            <w:tcW w:w="5400" w:type="dxa"/>
          </w:tcPr>
          <w:p w14:paraId="5B60DE08" w14:textId="77777777" w:rsidR="00A31D84" w:rsidRDefault="00000000">
            <w:pPr>
              <w:spacing w:before="40" w:after="40"/>
            </w:pPr>
            <w:r>
              <w:rPr>
                <w:color w:val="16233B"/>
                <w:sz w:val="18"/>
              </w:rPr>
              <w:t>The authentication team can tell us, in one call, which of a page of items a user has on loan</w:t>
            </w:r>
          </w:p>
        </w:tc>
        <w:tc>
          <w:tcPr>
            <w:tcW w:w="3992" w:type="dxa"/>
          </w:tcPr>
          <w:p w14:paraId="2E32C601" w14:textId="77777777" w:rsidR="00A31D84" w:rsidRDefault="00000000">
            <w:pPr>
              <w:spacing w:before="40" w:after="40"/>
            </w:pPr>
            <w:r>
              <w:rPr>
                <w:color w:val="16233B"/>
                <w:sz w:val="18"/>
              </w:rPr>
              <w:t>Forty results would mean forty calls. This is the likeliest cause of a visibly slow app.</w:t>
            </w:r>
          </w:p>
        </w:tc>
      </w:tr>
      <w:tr w:rsidR="00A31D84" w14:paraId="090ADECA" w14:textId="77777777">
        <w:trPr>
          <w:jc w:val="center"/>
        </w:trPr>
        <w:tc>
          <w:tcPr>
            <w:tcW w:w="400" w:type="dxa"/>
          </w:tcPr>
          <w:p w14:paraId="55CB35BD" w14:textId="77777777" w:rsidR="00A31D84" w:rsidRDefault="00000000">
            <w:pPr>
              <w:spacing w:before="40" w:after="40"/>
            </w:pPr>
            <w:r>
              <w:rPr>
                <w:b/>
                <w:color w:val="13487F"/>
                <w:sz w:val="18"/>
              </w:rPr>
              <w:t>10</w:t>
            </w:r>
          </w:p>
        </w:tc>
        <w:tc>
          <w:tcPr>
            <w:tcW w:w="5400" w:type="dxa"/>
          </w:tcPr>
          <w:p w14:paraId="6FD97570" w14:textId="77777777" w:rsidR="00A31D84" w:rsidRDefault="00000000">
            <w:pPr>
              <w:spacing w:before="40" w:after="40"/>
            </w:pPr>
            <w:r>
              <w:rPr>
                <w:color w:val="16233B"/>
                <w:sz w:val="18"/>
              </w:rPr>
              <w:t>A signed-out user reading Open Access needs no loan, because there is no borrower</w:t>
            </w:r>
          </w:p>
        </w:tc>
        <w:tc>
          <w:tcPr>
            <w:tcW w:w="3992" w:type="dxa"/>
          </w:tcPr>
          <w:p w14:paraId="047B4B78" w14:textId="77777777" w:rsidR="00A31D84" w:rsidRDefault="00000000">
            <w:pPr>
              <w:spacing w:before="40" w:after="40"/>
            </w:pPr>
            <w:r>
              <w:rPr>
                <w:color w:val="16233B"/>
                <w:sz w:val="18"/>
              </w:rPr>
              <w:t>A guest would have to sign in before reading anything.</w:t>
            </w:r>
          </w:p>
        </w:tc>
      </w:tr>
      <w:tr w:rsidR="00A31D84" w14:paraId="1B1E559F" w14:textId="77777777">
        <w:trPr>
          <w:jc w:val="center"/>
        </w:trPr>
        <w:tc>
          <w:tcPr>
            <w:tcW w:w="400" w:type="dxa"/>
          </w:tcPr>
          <w:p w14:paraId="01119499" w14:textId="77777777" w:rsidR="00A31D84" w:rsidRDefault="00000000">
            <w:pPr>
              <w:spacing w:before="40" w:after="40"/>
            </w:pPr>
            <w:r>
              <w:rPr>
                <w:b/>
                <w:color w:val="13487F"/>
                <w:sz w:val="18"/>
              </w:rPr>
              <w:t>11</w:t>
            </w:r>
          </w:p>
        </w:tc>
        <w:tc>
          <w:tcPr>
            <w:tcW w:w="5400" w:type="dxa"/>
          </w:tcPr>
          <w:p w14:paraId="1A7E6150" w14:textId="77777777" w:rsidR="00A31D84" w:rsidRDefault="00000000">
            <w:pPr>
              <w:spacing w:before="40" w:after="40"/>
            </w:pPr>
            <w:r>
              <w:rPr>
                <w:color w:val="16233B"/>
                <w:sz w:val="18"/>
              </w:rPr>
              <w:t>Subscribe applies only to individual accounts, never institutional ones</w:t>
            </w:r>
          </w:p>
        </w:tc>
        <w:tc>
          <w:tcPr>
            <w:tcW w:w="3992" w:type="dxa"/>
          </w:tcPr>
          <w:p w14:paraId="7D680896" w14:textId="77777777" w:rsidR="00A31D84" w:rsidRDefault="00000000">
            <w:pPr>
              <w:spacing w:before="40" w:after="40"/>
            </w:pPr>
            <w:r>
              <w:rPr>
                <w:color w:val="16233B"/>
                <w:sz w:val="18"/>
              </w:rPr>
              <w:t>An extra action appears on institutional feeds.</w:t>
            </w:r>
          </w:p>
        </w:tc>
      </w:tr>
      <w:tr w:rsidR="00A31D84" w14:paraId="16CF8A08" w14:textId="77777777">
        <w:trPr>
          <w:jc w:val="center"/>
        </w:trPr>
        <w:tc>
          <w:tcPr>
            <w:tcW w:w="400" w:type="dxa"/>
          </w:tcPr>
          <w:p w14:paraId="75C77EDD" w14:textId="77777777" w:rsidR="00A31D84" w:rsidRDefault="00000000">
            <w:pPr>
              <w:spacing w:before="40" w:after="40"/>
            </w:pPr>
            <w:r>
              <w:rPr>
                <w:b/>
                <w:color w:val="13487F"/>
                <w:sz w:val="18"/>
              </w:rPr>
              <w:t>12</w:t>
            </w:r>
          </w:p>
        </w:tc>
        <w:tc>
          <w:tcPr>
            <w:tcW w:w="5400" w:type="dxa"/>
          </w:tcPr>
          <w:p w14:paraId="015AD6C8" w14:textId="77777777" w:rsidR="00A31D84" w:rsidRDefault="00000000">
            <w:pPr>
              <w:spacing w:before="40" w:after="40"/>
            </w:pPr>
            <w:r>
              <w:rPr>
                <w:color w:val="16233B"/>
                <w:sz w:val="18"/>
              </w:rPr>
              <w:t>We hold the item a user tapped across the whole sign-in journey and return them to it</w:t>
            </w:r>
          </w:p>
        </w:tc>
        <w:tc>
          <w:tcPr>
            <w:tcW w:w="3992" w:type="dxa"/>
          </w:tcPr>
          <w:p w14:paraId="14EE58C0" w14:textId="77777777" w:rsidR="00A31D84" w:rsidRDefault="00000000">
            <w:pPr>
              <w:spacing w:before="40" w:after="40"/>
            </w:pPr>
            <w:r>
              <w:rPr>
                <w:color w:val="16233B"/>
                <w:sz w:val="18"/>
              </w:rPr>
              <w:t>Users land back on the home screen after signing in. Ours to solve either way.</w:t>
            </w:r>
          </w:p>
        </w:tc>
      </w:tr>
      <w:tr w:rsidR="00A31D84" w14:paraId="36B6A350" w14:textId="77777777">
        <w:trPr>
          <w:jc w:val="center"/>
        </w:trPr>
        <w:tc>
          <w:tcPr>
            <w:tcW w:w="400" w:type="dxa"/>
          </w:tcPr>
          <w:p w14:paraId="32EF1070" w14:textId="77777777" w:rsidR="00A31D84" w:rsidRDefault="00000000">
            <w:pPr>
              <w:spacing w:before="40" w:after="40"/>
            </w:pPr>
            <w:r>
              <w:rPr>
                <w:b/>
                <w:color w:val="13487F"/>
                <w:sz w:val="18"/>
              </w:rPr>
              <w:t>13</w:t>
            </w:r>
          </w:p>
        </w:tc>
        <w:tc>
          <w:tcPr>
            <w:tcW w:w="5400" w:type="dxa"/>
          </w:tcPr>
          <w:p w14:paraId="18566B60" w14:textId="77777777" w:rsidR="00A31D84" w:rsidRDefault="00000000">
            <w:pPr>
              <w:spacing w:before="40" w:after="40"/>
            </w:pPr>
            <w:r>
              <w:rPr>
                <w:color w:val="16233B"/>
                <w:sz w:val="18"/>
              </w:rPr>
              <w:t>Sample data arrives in Week 1 and real endpoints in Week 3</w:t>
            </w:r>
          </w:p>
        </w:tc>
        <w:tc>
          <w:tcPr>
            <w:tcW w:w="3992" w:type="dxa"/>
          </w:tcPr>
          <w:p w14:paraId="4661F311" w14:textId="77777777" w:rsidR="00A31D84" w:rsidRDefault="00000000">
            <w:pPr>
              <w:spacing w:before="40" w:after="40"/>
            </w:pPr>
            <w:r>
              <w:rPr>
                <w:color w:val="16233B"/>
                <w:sz w:val="18"/>
              </w:rPr>
              <w:t>Weeks 1 and 2 are unaffected — they run on our own fixtures. Week 4 absorbs the delay.</w:t>
            </w:r>
          </w:p>
        </w:tc>
      </w:tr>
    </w:tbl>
    <w:p w14:paraId="17A404EA" w14:textId="77777777" w:rsidR="00A31D84" w:rsidRDefault="00A31D84">
      <w:pPr>
        <w:spacing w:after="160"/>
      </w:pPr>
    </w:p>
    <w:p w14:paraId="0A5D381D" w14:textId="77777777" w:rsidR="00A31D84" w:rsidRDefault="00000000">
      <w:pPr>
        <w:spacing w:after="0"/>
      </w:pPr>
      <w:r>
        <w:rPr>
          <w:rFonts w:ascii="Consolas" w:hAnsi="Consolas"/>
          <w:b/>
          <w:color w:val="C8922F"/>
          <w:sz w:val="18"/>
        </w:rPr>
        <w:t>03</w:t>
      </w:r>
    </w:p>
    <w:p w14:paraId="353E5F5E" w14:textId="77777777" w:rsidR="00A31D84" w:rsidRDefault="00000000">
      <w:pPr>
        <w:spacing w:after="160"/>
      </w:pPr>
      <w:r>
        <w:rPr>
          <w:rFonts w:ascii="Georgia" w:hAnsi="Georgia"/>
          <w:b/>
          <w:color w:val="0D3562"/>
          <w:sz w:val="38"/>
        </w:rPr>
        <w:t>Week by week</w:t>
      </w:r>
    </w:p>
    <w:tbl>
      <w:tblPr>
        <w:tblW w:w="0" w:type="auto"/>
        <w:jc w:val="center"/>
        <w:tblLook w:val="04A0" w:firstRow="1" w:lastRow="0" w:firstColumn="1" w:lastColumn="0" w:noHBand="0" w:noVBand="1"/>
      </w:tblPr>
      <w:tblGrid>
        <w:gridCol w:w="9757"/>
      </w:tblGrid>
      <w:tr w:rsidR="00A31D84" w14:paraId="64851B16" w14:textId="77777777">
        <w:trPr>
          <w:jc w:val="center"/>
        </w:trPr>
        <w:tc>
          <w:tcPr>
            <w:tcW w:w="9792" w:type="dxa"/>
            <w:tcBorders>
              <w:top w:val="single" w:sz="4" w:space="0" w:color="E9F1FB"/>
              <w:left w:val="single" w:sz="24" w:space="0" w:color="13487F"/>
              <w:bottom w:val="single" w:sz="4" w:space="0" w:color="E9F1FB"/>
              <w:right w:val="single" w:sz="4" w:space="0" w:color="E9F1FB"/>
            </w:tcBorders>
            <w:shd w:val="clear" w:color="auto" w:fill="E9F1FB"/>
          </w:tcPr>
          <w:p w14:paraId="34DD60C8" w14:textId="77777777" w:rsidR="00A31D84" w:rsidRDefault="00000000">
            <w:pPr>
              <w:spacing w:after="40"/>
            </w:pPr>
            <w:r>
              <w:rPr>
                <w:b/>
                <w:color w:val="13487F"/>
                <w:sz w:val="17"/>
              </w:rPr>
              <w:t>HOW TO READ THIS</w:t>
            </w:r>
          </w:p>
          <w:p w14:paraId="2BD6A502" w14:textId="77777777" w:rsidR="00A31D84" w:rsidRDefault="00000000">
            <w:pPr>
              <w:spacing w:after="40"/>
            </w:pPr>
            <w:r>
              <w:rPr>
                <w:sz w:val="19"/>
              </w:rPr>
              <w:t xml:space="preserve">Weeks 1 to 3 are ours alone and run entirely on mock data, so nothing in them depends on another team arriving on time. Week 4 is </w:t>
            </w:r>
            <w:proofErr w:type="gramStart"/>
            <w:r>
              <w:rPr>
                <w:sz w:val="19"/>
              </w:rPr>
              <w:t>integration, and</w:t>
            </w:r>
            <w:proofErr w:type="gramEnd"/>
            <w:r>
              <w:rPr>
                <w:sz w:val="19"/>
              </w:rPr>
              <w:t xml:space="preserve"> is the only week whose content depends on services outside the team. It is deliberately left light.</w:t>
            </w:r>
          </w:p>
        </w:tc>
      </w:tr>
    </w:tbl>
    <w:p w14:paraId="616D0145" w14:textId="77777777" w:rsidR="00A31D84" w:rsidRDefault="00A31D84">
      <w:pPr>
        <w:spacing w:after="160"/>
      </w:pPr>
    </w:p>
    <w:p w14:paraId="2DD68B96" w14:textId="77777777" w:rsidR="00A31D84" w:rsidRDefault="00000000">
      <w:pPr>
        <w:spacing w:before="280" w:after="80"/>
      </w:pPr>
      <w:r>
        <w:rPr>
          <w:rFonts w:ascii="Georgia" w:hAnsi="Georgia"/>
          <w:b/>
          <w:color w:val="13487F"/>
          <w:sz w:val="26"/>
        </w:rPr>
        <w:t>Week 1 — 10 to 14 August · Foundations</w:t>
      </w:r>
    </w:p>
    <w:p w14:paraId="1AB5B2F7" w14:textId="77777777" w:rsidR="00A31D84" w:rsidRDefault="00000000">
      <w:pPr>
        <w:spacing w:before="220" w:after="60"/>
      </w:pPr>
      <w:r>
        <w:rPr>
          <w:b/>
          <w:color w:val="16233B"/>
          <w:sz w:val="21"/>
        </w:rPr>
        <w:lastRenderedPageBreak/>
        <w:t>Delivers</w:t>
      </w:r>
    </w:p>
    <w:p w14:paraId="479F6D6B" w14:textId="77777777" w:rsidR="00A31D84" w:rsidRDefault="00000000">
      <w:pPr>
        <w:pStyle w:val="ListBullet"/>
        <w:spacing w:after="60"/>
      </w:pPr>
      <w:r>
        <w:t>Design tokens, shared component library, app shell and navigation — all merged before feature work starts</w:t>
      </w:r>
    </w:p>
    <w:p w14:paraId="4A358AD8" w14:textId="77777777" w:rsidR="00A31D84" w:rsidRDefault="00000000">
      <w:pPr>
        <w:pStyle w:val="ListBullet"/>
        <w:spacing w:after="60"/>
      </w:pPr>
      <w:r>
        <w:t>The internal content model, and adapters turning all three OPDS feeds into it</w:t>
      </w:r>
    </w:p>
    <w:p w14:paraId="031C6CAB" w14:textId="77777777" w:rsidR="00A31D84" w:rsidRDefault="00000000">
      <w:pPr>
        <w:pStyle w:val="ListBullet"/>
        <w:spacing w:after="60"/>
      </w:pPr>
      <w:r>
        <w:t>Identifier handling, so DOI and ISBN become searchable fields</w:t>
      </w:r>
    </w:p>
    <w:p w14:paraId="74819AAF" w14:textId="77777777" w:rsidR="00A31D84" w:rsidRDefault="00000000">
      <w:pPr>
        <w:pStyle w:val="ListBullet"/>
        <w:spacing w:after="60"/>
      </w:pPr>
      <w:r>
        <w:t>Mock data covering every content type and every access state</w:t>
      </w:r>
    </w:p>
    <w:p w14:paraId="2B181F1E" w14:textId="77777777" w:rsidR="00A31D84" w:rsidRDefault="00000000">
      <w:pPr>
        <w:pStyle w:val="ListBullet"/>
        <w:spacing w:after="60"/>
      </w:pPr>
      <w:r>
        <w:t>Catalogue browse with feed tabs and pagination</w:t>
      </w:r>
    </w:p>
    <w:p w14:paraId="576E8FBF" w14:textId="77777777" w:rsidR="00A31D84" w:rsidRDefault="00000000">
      <w:pPr>
        <w:pStyle w:val="ListBullet"/>
        <w:spacing w:after="60"/>
      </w:pPr>
      <w:r>
        <w:t>Search with matching and ranking, working over mock data</w:t>
      </w:r>
    </w:p>
    <w:p w14:paraId="478D8806" w14:textId="77777777" w:rsidR="00A31D84" w:rsidRDefault="00000000">
      <w:pPr>
        <w:pStyle w:val="ListBullet"/>
        <w:spacing w:after="60"/>
      </w:pPr>
      <w:r>
        <w:t>Institution list, detail and search</w:t>
      </w:r>
    </w:p>
    <w:p w14:paraId="1BA82EC4" w14:textId="77777777" w:rsidR="00A31D84" w:rsidRDefault="00000000">
      <w:pPr>
        <w:spacing w:before="220" w:after="60"/>
      </w:pPr>
      <w:r>
        <w:rPr>
          <w:b/>
          <w:color w:val="16233B"/>
          <w:sz w:val="21"/>
        </w:rPr>
        <w:t>Needs from others</w:t>
      </w:r>
    </w:p>
    <w:p w14:paraId="1E16CDDA" w14:textId="77777777" w:rsidR="00A31D84" w:rsidRDefault="00000000">
      <w:pPr>
        <w:pStyle w:val="ListBullet"/>
        <w:spacing w:after="60"/>
      </w:pPr>
      <w:r>
        <w:t>Sample catalogue feed and sample institution list — hand-written is fine, shape matters more than content</w:t>
      </w:r>
    </w:p>
    <w:p w14:paraId="6BE3E3F5" w14:textId="77777777" w:rsidR="00A31D84" w:rsidRDefault="00000000">
      <w:pPr>
        <w:pStyle w:val="ListBullet"/>
        <w:spacing w:after="60"/>
      </w:pPr>
      <w:r>
        <w:t>Confirmation that an unsigned-in user can fetch the full catalogue</w:t>
      </w:r>
    </w:p>
    <w:p w14:paraId="20AD1DF3" w14:textId="77777777" w:rsidR="00A31D84" w:rsidRDefault="00000000">
      <w:pPr>
        <w:pStyle w:val="ListBullet"/>
        <w:spacing w:after="60"/>
      </w:pPr>
      <w:r>
        <w:t>Agreement on the per-item access-tier field</w:t>
      </w:r>
    </w:p>
    <w:p w14:paraId="2C62B4FE" w14:textId="77777777" w:rsidR="00A31D84" w:rsidRDefault="00000000">
      <w:pPr>
        <w:pStyle w:val="ListBullet"/>
        <w:spacing w:after="60"/>
      </w:pPr>
      <w:r>
        <w:t>The sign-in handoff contract, even if the screen lands later</w:t>
      </w:r>
    </w:p>
    <w:tbl>
      <w:tblPr>
        <w:tblW w:w="0" w:type="auto"/>
        <w:jc w:val="center"/>
        <w:tblLook w:val="04A0" w:firstRow="1" w:lastRow="0" w:firstColumn="1" w:lastColumn="0" w:noHBand="0" w:noVBand="1"/>
      </w:tblPr>
      <w:tblGrid>
        <w:gridCol w:w="9757"/>
      </w:tblGrid>
      <w:tr w:rsidR="00A31D84" w14:paraId="3617CBE5" w14:textId="77777777">
        <w:trPr>
          <w:jc w:val="center"/>
        </w:trPr>
        <w:tc>
          <w:tcPr>
            <w:tcW w:w="9792" w:type="dxa"/>
            <w:tcBorders>
              <w:top w:val="single" w:sz="4" w:space="0" w:color="E9F1FB"/>
              <w:left w:val="single" w:sz="24" w:space="0" w:color="13487F"/>
              <w:bottom w:val="single" w:sz="4" w:space="0" w:color="E9F1FB"/>
              <w:right w:val="single" w:sz="4" w:space="0" w:color="E9F1FB"/>
            </w:tcBorders>
            <w:shd w:val="clear" w:color="auto" w:fill="E9F1FB"/>
          </w:tcPr>
          <w:p w14:paraId="61C63336" w14:textId="77777777" w:rsidR="00A31D84" w:rsidRDefault="00000000">
            <w:pPr>
              <w:spacing w:after="40"/>
            </w:pPr>
            <w:r>
              <w:rPr>
                <w:b/>
                <w:color w:val="13487F"/>
                <w:sz w:val="17"/>
              </w:rPr>
              <w:t>DONE WHEN</w:t>
            </w:r>
          </w:p>
          <w:p w14:paraId="0BA78EA3" w14:textId="77777777" w:rsidR="00A31D84" w:rsidRDefault="00000000">
            <w:pPr>
              <w:spacing w:after="40"/>
            </w:pPr>
            <w:r>
              <w:rPr>
                <w:sz w:val="19"/>
              </w:rPr>
              <w:t>The catalogue is browsable and searchable on mock data, institutions can be searched and viewed, and every contract request has gone out in writing.</w:t>
            </w:r>
          </w:p>
        </w:tc>
      </w:tr>
    </w:tbl>
    <w:p w14:paraId="49F5F160" w14:textId="77777777" w:rsidR="00A31D84" w:rsidRDefault="00A31D84">
      <w:pPr>
        <w:spacing w:after="160"/>
      </w:pPr>
    </w:p>
    <w:p w14:paraId="7B39B9E7" w14:textId="77777777" w:rsidR="00A31D84" w:rsidRDefault="00000000">
      <w:pPr>
        <w:spacing w:before="280" w:after="80"/>
      </w:pPr>
      <w:r>
        <w:rPr>
          <w:rFonts w:ascii="Georgia" w:hAnsi="Georgia"/>
          <w:b/>
          <w:color w:val="13487F"/>
          <w:sz w:val="26"/>
        </w:rPr>
        <w:t>Week 2 — 17 to 21 August · Access, loans and detail</w:t>
      </w:r>
    </w:p>
    <w:p w14:paraId="709DBE70" w14:textId="77777777" w:rsidR="00A31D84" w:rsidRDefault="00000000">
      <w:pPr>
        <w:spacing w:before="220" w:after="60"/>
      </w:pPr>
      <w:r>
        <w:rPr>
          <w:b/>
          <w:color w:val="16233B"/>
          <w:sz w:val="21"/>
        </w:rPr>
        <w:t>Delivers</w:t>
      </w:r>
    </w:p>
    <w:p w14:paraId="6E9FC1B3" w14:textId="77777777" w:rsidR="00A31D84" w:rsidRDefault="00000000">
      <w:pPr>
        <w:pStyle w:val="ListBullet"/>
        <w:spacing w:after="60"/>
      </w:pPr>
      <w:r>
        <w:t>Institution selection, remembered across restarts, changeable and clearable</w:t>
      </w:r>
    </w:p>
    <w:p w14:paraId="01D6E957" w14:textId="77777777" w:rsidR="00A31D84" w:rsidRDefault="00000000">
      <w:pPr>
        <w:pStyle w:val="ListBullet"/>
        <w:spacing w:after="60"/>
      </w:pPr>
      <w:r>
        <w:t>Routing into institutional or personal sign-in, carrying institution context</w:t>
      </w:r>
    </w:p>
    <w:p w14:paraId="2CC26514" w14:textId="77777777" w:rsidR="00A31D84" w:rsidRDefault="00000000">
      <w:pPr>
        <w:pStyle w:val="ListBullet"/>
        <w:spacing w:after="60"/>
      </w:pPr>
      <w:r>
        <w:t>The access rule producing exactly one action per item, and the tier badge on every card</w:t>
      </w:r>
    </w:p>
    <w:p w14:paraId="38AC8C21" w14:textId="77777777" w:rsidR="00A31D84" w:rsidRDefault="00000000">
      <w:pPr>
        <w:pStyle w:val="ListBullet"/>
        <w:spacing w:after="60"/>
      </w:pPr>
      <w:r>
        <w:t>Borrow creating a loan, and the button changing to Read and Download once it succeeds</w:t>
      </w:r>
    </w:p>
    <w:p w14:paraId="4E88B2FE" w14:textId="77777777" w:rsidR="00A31D84" w:rsidRDefault="00000000">
      <w:pPr>
        <w:pStyle w:val="ListBullet"/>
        <w:spacing w:after="60"/>
      </w:pPr>
      <w:r>
        <w:t>Loan state fetched and cached, so the right action shows on a full page of results</w:t>
      </w:r>
    </w:p>
    <w:p w14:paraId="6D478E6A" w14:textId="77777777" w:rsidR="00A31D84" w:rsidRDefault="00000000">
      <w:pPr>
        <w:pStyle w:val="ListBullet"/>
        <w:spacing w:after="60"/>
      </w:pPr>
      <w:r>
        <w:t>The tapped item held across sign-in and restored afterwards</w:t>
      </w:r>
    </w:p>
    <w:p w14:paraId="6D2F7809" w14:textId="77777777" w:rsidR="00A31D84" w:rsidRDefault="00000000">
      <w:pPr>
        <w:pStyle w:val="ListBullet"/>
        <w:spacing w:after="60"/>
      </w:pPr>
      <w:r>
        <w:t>Item detail for books, journals, articles and audio</w:t>
      </w:r>
    </w:p>
    <w:p w14:paraId="511CD0F4" w14:textId="77777777" w:rsidR="00A31D84" w:rsidRDefault="00000000">
      <w:pPr>
        <w:pStyle w:val="ListBullet"/>
        <w:spacing w:after="60"/>
      </w:pPr>
      <w:r>
        <w:t>Filters, sort, result count, and search state that survives navigation</w:t>
      </w:r>
    </w:p>
    <w:p w14:paraId="5988F8D4" w14:textId="77777777" w:rsidR="00A31D84" w:rsidRDefault="00000000">
      <w:pPr>
        <w:pStyle w:val="ListBullet"/>
        <w:spacing w:after="60"/>
      </w:pPr>
      <w:r>
        <w:t>Voice input feeding the same search</w:t>
      </w:r>
    </w:p>
    <w:p w14:paraId="76BED533" w14:textId="77777777" w:rsidR="00A31D84" w:rsidRDefault="00000000">
      <w:pPr>
        <w:spacing w:before="220" w:after="60"/>
      </w:pPr>
      <w:r>
        <w:rPr>
          <w:b/>
          <w:color w:val="16233B"/>
          <w:sz w:val="21"/>
        </w:rPr>
        <w:t>Needs from others</w:t>
      </w:r>
    </w:p>
    <w:p w14:paraId="1205ECDB" w14:textId="77777777" w:rsidR="00A31D84" w:rsidRDefault="00000000">
      <w:pPr>
        <w:pStyle w:val="ListBullet"/>
        <w:spacing w:after="60"/>
      </w:pPr>
      <w:r>
        <w:t>A way to read the signed-in user’s session and entitlements</w:t>
      </w:r>
    </w:p>
    <w:p w14:paraId="085C539F" w14:textId="77777777" w:rsidR="00A31D84" w:rsidRDefault="00000000">
      <w:pPr>
        <w:pStyle w:val="ListBullet"/>
        <w:spacing w:after="60"/>
      </w:pPr>
      <w:r>
        <w:t>A single call returning loan state for a page of items</w:t>
      </w:r>
    </w:p>
    <w:p w14:paraId="5900A7DE" w14:textId="77777777" w:rsidR="00A31D84" w:rsidRDefault="00000000">
      <w:pPr>
        <w:pStyle w:val="ListBullet"/>
        <w:spacing w:after="60"/>
      </w:pPr>
      <w:r>
        <w:t>The Borrow endpoint, or its contract so we can build against it</w:t>
      </w:r>
    </w:p>
    <w:p w14:paraId="0934D6D4" w14:textId="77777777" w:rsidR="00A31D84" w:rsidRDefault="00000000">
      <w:pPr>
        <w:pStyle w:val="ListBullet"/>
        <w:spacing w:after="60"/>
      </w:pPr>
      <w:r>
        <w:t>A sign-in screen we can route into, even a mock one</w:t>
      </w:r>
    </w:p>
    <w:tbl>
      <w:tblPr>
        <w:tblW w:w="0" w:type="auto"/>
        <w:jc w:val="center"/>
        <w:tblLook w:val="04A0" w:firstRow="1" w:lastRow="0" w:firstColumn="1" w:lastColumn="0" w:noHBand="0" w:noVBand="1"/>
      </w:tblPr>
      <w:tblGrid>
        <w:gridCol w:w="9757"/>
      </w:tblGrid>
      <w:tr w:rsidR="00A31D84" w14:paraId="7AB59721" w14:textId="77777777">
        <w:trPr>
          <w:jc w:val="center"/>
        </w:trPr>
        <w:tc>
          <w:tcPr>
            <w:tcW w:w="9792" w:type="dxa"/>
            <w:tcBorders>
              <w:top w:val="single" w:sz="4" w:space="0" w:color="E9F1FB"/>
              <w:left w:val="single" w:sz="24" w:space="0" w:color="13487F"/>
              <w:bottom w:val="single" w:sz="4" w:space="0" w:color="E9F1FB"/>
              <w:right w:val="single" w:sz="4" w:space="0" w:color="E9F1FB"/>
            </w:tcBorders>
            <w:shd w:val="clear" w:color="auto" w:fill="E9F1FB"/>
          </w:tcPr>
          <w:p w14:paraId="4B223B10" w14:textId="77777777" w:rsidR="00A31D84" w:rsidRDefault="00000000">
            <w:pPr>
              <w:spacing w:after="40"/>
            </w:pPr>
            <w:r>
              <w:rPr>
                <w:b/>
                <w:color w:val="13487F"/>
                <w:sz w:val="17"/>
              </w:rPr>
              <w:t>DONE WHEN</w:t>
            </w:r>
          </w:p>
          <w:p w14:paraId="7B40A98E" w14:textId="77777777" w:rsidR="00A31D84" w:rsidRDefault="00000000">
            <w:pPr>
              <w:spacing w:after="40"/>
            </w:pPr>
            <w:r>
              <w:rPr>
                <w:sz w:val="19"/>
              </w:rPr>
              <w:t>All three states — signed out, institutional and individual — can be walked end to end on mock data, with the correct single action on every item and the return-to-item journey working.</w:t>
            </w:r>
          </w:p>
        </w:tc>
      </w:tr>
    </w:tbl>
    <w:p w14:paraId="2373D86F" w14:textId="77777777" w:rsidR="00A31D84" w:rsidRDefault="00A31D84">
      <w:pPr>
        <w:spacing w:after="160"/>
      </w:pPr>
    </w:p>
    <w:p w14:paraId="2E42CF26" w14:textId="77777777" w:rsidR="00A31D84" w:rsidRDefault="00000000">
      <w:pPr>
        <w:spacing w:before="280" w:after="80"/>
      </w:pPr>
      <w:r>
        <w:rPr>
          <w:rFonts w:ascii="Georgia" w:hAnsi="Georgia"/>
          <w:b/>
          <w:color w:val="13487F"/>
          <w:sz w:val="26"/>
        </w:rPr>
        <w:lastRenderedPageBreak/>
        <w:t>Week 3 — 24 to 28 August · Hardening, and the first real data</w:t>
      </w:r>
    </w:p>
    <w:p w14:paraId="5411C0D1" w14:textId="77777777" w:rsidR="00A31D84" w:rsidRDefault="00000000">
      <w:pPr>
        <w:spacing w:before="220" w:after="60"/>
      </w:pPr>
      <w:r>
        <w:rPr>
          <w:b/>
          <w:color w:val="16233B"/>
          <w:sz w:val="21"/>
        </w:rPr>
        <w:t>Delivers</w:t>
      </w:r>
    </w:p>
    <w:p w14:paraId="481EEDDD" w14:textId="77777777" w:rsidR="00A31D84" w:rsidRDefault="00000000">
      <w:pPr>
        <w:pStyle w:val="ListBullet"/>
        <w:spacing w:after="60"/>
      </w:pPr>
      <w:r>
        <w:t>Loading, empty, error and offline states across every surface</w:t>
      </w:r>
    </w:p>
    <w:p w14:paraId="65980C40" w14:textId="77777777" w:rsidR="00A31D84" w:rsidRDefault="00000000">
      <w:pPr>
        <w:pStyle w:val="ListBullet"/>
        <w:spacing w:after="60"/>
      </w:pPr>
      <w:r>
        <w:t>Waitlist and access-restricted states, and Borrow failure handling</w:t>
      </w:r>
    </w:p>
    <w:p w14:paraId="151AF2B5" w14:textId="77777777" w:rsidR="00A31D84" w:rsidRDefault="00000000">
      <w:pPr>
        <w:pStyle w:val="ListBullet"/>
        <w:spacing w:after="60"/>
      </w:pPr>
      <w:r>
        <w:t>Every screen checked against every state — the largest single block of the week</w:t>
      </w:r>
    </w:p>
    <w:p w14:paraId="45DDBC1B" w14:textId="77777777" w:rsidR="00A31D84" w:rsidRDefault="00000000">
      <w:pPr>
        <w:pStyle w:val="ListBullet"/>
        <w:spacing w:after="60"/>
      </w:pPr>
      <w:r>
        <w:t>The access-state filter, once the field exists</w:t>
      </w:r>
    </w:p>
    <w:p w14:paraId="6686340B" w14:textId="77777777" w:rsidR="00A31D84" w:rsidRDefault="00000000">
      <w:pPr>
        <w:pStyle w:val="ListBullet"/>
        <w:spacing w:after="60"/>
      </w:pPr>
      <w:r>
        <w:t>Institution list working offline, since sign-in depends on it</w:t>
      </w:r>
    </w:p>
    <w:p w14:paraId="45877AD7" w14:textId="77777777" w:rsidR="00A31D84" w:rsidRDefault="00000000">
      <w:pPr>
        <w:pStyle w:val="ListBullet"/>
        <w:spacing w:after="60"/>
      </w:pPr>
      <w:r>
        <w:t>Real feeds and real sessions wired in as they become available</w:t>
      </w:r>
    </w:p>
    <w:p w14:paraId="798052B5" w14:textId="77777777" w:rsidR="00A31D84" w:rsidRDefault="00000000">
      <w:pPr>
        <w:spacing w:before="220" w:after="60"/>
      </w:pPr>
      <w:r>
        <w:rPr>
          <w:b/>
          <w:color w:val="16233B"/>
          <w:sz w:val="21"/>
        </w:rPr>
        <w:t>Needs from others</w:t>
      </w:r>
    </w:p>
    <w:p w14:paraId="4AF1EA55" w14:textId="77777777" w:rsidR="00A31D84" w:rsidRDefault="00000000">
      <w:pPr>
        <w:pStyle w:val="ListBullet"/>
        <w:spacing w:after="60"/>
      </w:pPr>
      <w:r>
        <w:t>Real catalogue and institution endpoints</w:t>
      </w:r>
    </w:p>
    <w:p w14:paraId="3DB78D08" w14:textId="77777777" w:rsidR="00A31D84" w:rsidRDefault="00000000">
      <w:pPr>
        <w:pStyle w:val="ListBullet"/>
        <w:spacing w:after="60"/>
      </w:pPr>
      <w:r>
        <w:t>Real session and entitlement access</w:t>
      </w:r>
    </w:p>
    <w:tbl>
      <w:tblPr>
        <w:tblW w:w="0" w:type="auto"/>
        <w:jc w:val="center"/>
        <w:tblLook w:val="04A0" w:firstRow="1" w:lastRow="0" w:firstColumn="1" w:lastColumn="0" w:noHBand="0" w:noVBand="1"/>
      </w:tblPr>
      <w:tblGrid>
        <w:gridCol w:w="9757"/>
      </w:tblGrid>
      <w:tr w:rsidR="00A31D84" w14:paraId="773A178F" w14:textId="77777777">
        <w:trPr>
          <w:jc w:val="center"/>
        </w:trPr>
        <w:tc>
          <w:tcPr>
            <w:tcW w:w="9792" w:type="dxa"/>
            <w:tcBorders>
              <w:top w:val="single" w:sz="4" w:space="0" w:color="E9F1FB"/>
              <w:left w:val="single" w:sz="24" w:space="0" w:color="13487F"/>
              <w:bottom w:val="single" w:sz="4" w:space="0" w:color="E9F1FB"/>
              <w:right w:val="single" w:sz="4" w:space="0" w:color="E9F1FB"/>
            </w:tcBorders>
            <w:shd w:val="clear" w:color="auto" w:fill="E9F1FB"/>
          </w:tcPr>
          <w:p w14:paraId="45AA30B1" w14:textId="77777777" w:rsidR="00A31D84" w:rsidRDefault="00000000">
            <w:pPr>
              <w:spacing w:after="40"/>
            </w:pPr>
            <w:r>
              <w:rPr>
                <w:b/>
                <w:color w:val="13487F"/>
                <w:sz w:val="17"/>
              </w:rPr>
              <w:t>DONE WHEN — THE ONE THAT MATTERS</w:t>
            </w:r>
          </w:p>
          <w:p w14:paraId="2D1AC667" w14:textId="77777777" w:rsidR="00A31D84" w:rsidRDefault="00000000">
            <w:pPr>
              <w:spacing w:after="40"/>
            </w:pPr>
            <w:r>
              <w:rPr>
                <w:sz w:val="19"/>
              </w:rPr>
              <w:t>Everything we own is finished, hardened and demonstrable. From this point anything outstanding is another team’s service, not our feature work.</w:t>
            </w:r>
          </w:p>
        </w:tc>
      </w:tr>
    </w:tbl>
    <w:p w14:paraId="0AA6C75B" w14:textId="77777777" w:rsidR="00A31D84" w:rsidRDefault="00A31D84">
      <w:pPr>
        <w:spacing w:after="160"/>
      </w:pPr>
    </w:p>
    <w:p w14:paraId="3B3AB205" w14:textId="77777777" w:rsidR="00A31D84" w:rsidRDefault="00000000">
      <w:pPr>
        <w:spacing w:before="280" w:after="80"/>
      </w:pPr>
      <w:r>
        <w:rPr>
          <w:rFonts w:ascii="Georgia" w:hAnsi="Georgia"/>
          <w:b/>
          <w:color w:val="13487F"/>
          <w:sz w:val="26"/>
        </w:rPr>
        <w:t>Week 4 — 31 August to 4 September · Integration</w:t>
      </w:r>
    </w:p>
    <w:p w14:paraId="55CC39FD" w14:textId="77777777" w:rsidR="00A31D84" w:rsidRDefault="00000000">
      <w:pPr>
        <w:spacing w:before="220" w:after="60"/>
      </w:pPr>
      <w:r>
        <w:rPr>
          <w:b/>
          <w:color w:val="16233B"/>
          <w:sz w:val="21"/>
        </w:rPr>
        <w:t>Delivers</w:t>
      </w:r>
    </w:p>
    <w:p w14:paraId="16D98664" w14:textId="77777777" w:rsidR="00A31D84" w:rsidRDefault="00000000">
      <w:pPr>
        <w:pStyle w:val="ListBullet"/>
        <w:spacing w:after="60"/>
      </w:pPr>
      <w:r>
        <w:t>Mock data swapped for real catalogue, session, loan and reader services</w:t>
      </w:r>
    </w:p>
    <w:p w14:paraId="320557E3" w14:textId="77777777" w:rsidR="00A31D84" w:rsidRDefault="00000000">
      <w:pPr>
        <w:pStyle w:val="ListBullet"/>
        <w:spacing w:after="60"/>
      </w:pPr>
      <w:r>
        <w:t>Fixes for any differences between the assumed and real data shapes</w:t>
      </w:r>
    </w:p>
    <w:p w14:paraId="120963BA" w14:textId="77777777" w:rsidR="00A31D84" w:rsidRDefault="00000000">
      <w:pPr>
        <w:pStyle w:val="ListBullet"/>
        <w:spacing w:after="60"/>
      </w:pPr>
      <w:r>
        <w:t xml:space="preserve">Accessibility </w:t>
      </w:r>
      <w:proofErr w:type="gramStart"/>
      <w:r>
        <w:t>pass</w:t>
      </w:r>
      <w:proofErr w:type="gramEnd"/>
      <w:r>
        <w:t xml:space="preserve"> and the </w:t>
      </w:r>
      <w:proofErr w:type="spellStart"/>
      <w:r>
        <w:t>behaviour</w:t>
      </w:r>
      <w:proofErr w:type="spellEnd"/>
      <w:r>
        <w:t>-driven test suite</w:t>
      </w:r>
    </w:p>
    <w:p w14:paraId="0D439C42" w14:textId="77777777" w:rsidR="00A31D84" w:rsidRDefault="00000000">
      <w:pPr>
        <w:pStyle w:val="ListBullet"/>
        <w:spacing w:after="60"/>
      </w:pPr>
      <w:r>
        <w:t>Buffer for anything that arrived late</w:t>
      </w:r>
    </w:p>
    <w:tbl>
      <w:tblPr>
        <w:tblW w:w="0" w:type="auto"/>
        <w:jc w:val="center"/>
        <w:tblLook w:val="04A0" w:firstRow="1" w:lastRow="0" w:firstColumn="1" w:lastColumn="0" w:noHBand="0" w:noVBand="1"/>
      </w:tblPr>
      <w:tblGrid>
        <w:gridCol w:w="9757"/>
      </w:tblGrid>
      <w:tr w:rsidR="00A31D84" w14:paraId="55AC6F1B" w14:textId="77777777">
        <w:trPr>
          <w:jc w:val="center"/>
        </w:trPr>
        <w:tc>
          <w:tcPr>
            <w:tcW w:w="9792" w:type="dxa"/>
            <w:tcBorders>
              <w:top w:val="single" w:sz="4" w:space="0" w:color="E9F1FB"/>
              <w:left w:val="single" w:sz="24" w:space="0" w:color="13487F"/>
              <w:bottom w:val="single" w:sz="4" w:space="0" w:color="E9F1FB"/>
              <w:right w:val="single" w:sz="4" w:space="0" w:color="E9F1FB"/>
            </w:tcBorders>
            <w:shd w:val="clear" w:color="auto" w:fill="E9F1FB"/>
          </w:tcPr>
          <w:p w14:paraId="75CE409A" w14:textId="77777777" w:rsidR="00A31D84" w:rsidRDefault="00000000">
            <w:pPr>
              <w:spacing w:after="40"/>
            </w:pPr>
            <w:r>
              <w:rPr>
                <w:b/>
                <w:color w:val="13487F"/>
                <w:sz w:val="17"/>
              </w:rPr>
              <w:t>IF NOTHING LANDS</w:t>
            </w:r>
          </w:p>
          <w:p w14:paraId="04914FBB" w14:textId="77777777" w:rsidR="00A31D84" w:rsidRDefault="00000000">
            <w:pPr>
              <w:spacing w:after="40"/>
            </w:pPr>
            <w:r>
              <w:rPr>
                <w:sz w:val="19"/>
              </w:rPr>
              <w:t>This week is deliberately underfilled. If everything arrives on time we finish ahead. If nothing does, we demonstrate on mock data and say so plainly, rather than discovering the gap on the day.</w:t>
            </w:r>
          </w:p>
        </w:tc>
      </w:tr>
    </w:tbl>
    <w:p w14:paraId="532F4529" w14:textId="77777777" w:rsidR="00A31D84" w:rsidRDefault="00A31D84">
      <w:pPr>
        <w:spacing w:after="160"/>
      </w:pPr>
    </w:p>
    <w:p w14:paraId="577D1461" w14:textId="77777777" w:rsidR="00A31D84" w:rsidRDefault="00000000">
      <w:pPr>
        <w:spacing w:after="0"/>
      </w:pPr>
      <w:r>
        <w:rPr>
          <w:rFonts w:ascii="Consolas" w:hAnsi="Consolas"/>
          <w:b/>
          <w:color w:val="C8922F"/>
          <w:sz w:val="18"/>
        </w:rPr>
        <w:t>04</w:t>
      </w:r>
    </w:p>
    <w:p w14:paraId="7483A8F3" w14:textId="77777777" w:rsidR="00A31D84" w:rsidRDefault="00000000">
      <w:pPr>
        <w:spacing w:after="160"/>
      </w:pPr>
      <w:r>
        <w:rPr>
          <w:rFonts w:ascii="Georgia" w:hAnsi="Georgia"/>
          <w:b/>
          <w:color w:val="0D3562"/>
          <w:sz w:val="38"/>
        </w:rPr>
        <w:t>What we need, and by when</w:t>
      </w:r>
    </w:p>
    <w:p w14:paraId="79F558B3" w14:textId="77777777" w:rsidR="00A31D84" w:rsidRDefault="00000000">
      <w:pPr>
        <w:spacing w:after="120"/>
      </w:pPr>
      <w:r>
        <w:t>Grouped by who we need it from. Everything here already has a stub behind it, so a late answer costs us reshaping rather than idle time — except the four marked critical, which have no workable substitute.</w:t>
      </w:r>
    </w:p>
    <w:p w14:paraId="5458D6EB" w14:textId="77777777" w:rsidR="00A31D84" w:rsidRDefault="00000000">
      <w:pPr>
        <w:spacing w:before="280" w:after="80"/>
      </w:pPr>
      <w:r>
        <w:rPr>
          <w:rFonts w:ascii="Georgia" w:hAnsi="Georgia"/>
          <w:b/>
          <w:color w:val="13487F"/>
          <w:sz w:val="26"/>
        </w:rPr>
        <w:t>From the catalogue team</w:t>
      </w:r>
    </w:p>
    <w:tbl>
      <w:tblPr>
        <w:tblStyle w:val="TableGrid"/>
        <w:tblW w:w="0" w:type="auto"/>
        <w:jc w:val="center"/>
        <w:tblLook w:val="04A0" w:firstRow="1" w:lastRow="0" w:firstColumn="1" w:lastColumn="0" w:noHBand="0" w:noVBand="1"/>
      </w:tblPr>
      <w:tblGrid>
        <w:gridCol w:w="5094"/>
        <w:gridCol w:w="600"/>
        <w:gridCol w:w="4088"/>
      </w:tblGrid>
      <w:tr w:rsidR="00A31D84" w14:paraId="50C684A2" w14:textId="77777777">
        <w:trPr>
          <w:jc w:val="center"/>
        </w:trPr>
        <w:tc>
          <w:tcPr>
            <w:tcW w:w="5100" w:type="dxa"/>
            <w:shd w:val="clear" w:color="auto" w:fill="13487F"/>
          </w:tcPr>
          <w:p w14:paraId="6F39D401" w14:textId="77777777" w:rsidR="00A31D84" w:rsidRDefault="00000000">
            <w:pPr>
              <w:spacing w:before="40" w:after="40"/>
            </w:pPr>
            <w:r>
              <w:rPr>
                <w:b/>
                <w:color w:val="FFFFFF"/>
                <w:sz w:val="17"/>
              </w:rPr>
              <w:t>Need</w:t>
            </w:r>
          </w:p>
        </w:tc>
        <w:tc>
          <w:tcPr>
            <w:tcW w:w="600" w:type="dxa"/>
            <w:shd w:val="clear" w:color="auto" w:fill="13487F"/>
          </w:tcPr>
          <w:p w14:paraId="18871404" w14:textId="77777777" w:rsidR="00A31D84" w:rsidRDefault="00000000">
            <w:pPr>
              <w:spacing w:before="40" w:after="40"/>
            </w:pPr>
            <w:r>
              <w:rPr>
                <w:b/>
                <w:color w:val="FFFFFF"/>
                <w:sz w:val="17"/>
              </w:rPr>
              <w:t>By</w:t>
            </w:r>
          </w:p>
        </w:tc>
        <w:tc>
          <w:tcPr>
            <w:tcW w:w="4092" w:type="dxa"/>
            <w:shd w:val="clear" w:color="auto" w:fill="13487F"/>
          </w:tcPr>
          <w:p w14:paraId="11179547" w14:textId="77777777" w:rsidR="00A31D84" w:rsidRDefault="00000000">
            <w:pPr>
              <w:spacing w:before="40" w:after="40"/>
            </w:pPr>
            <w:r>
              <w:rPr>
                <w:b/>
                <w:color w:val="FFFFFF"/>
                <w:sz w:val="17"/>
              </w:rPr>
              <w:t>Why it matters</w:t>
            </w:r>
          </w:p>
        </w:tc>
      </w:tr>
      <w:tr w:rsidR="00A31D84" w14:paraId="558B11FD" w14:textId="77777777">
        <w:trPr>
          <w:jc w:val="center"/>
        </w:trPr>
        <w:tc>
          <w:tcPr>
            <w:tcW w:w="5100" w:type="dxa"/>
          </w:tcPr>
          <w:p w14:paraId="6ADB0B66" w14:textId="77777777" w:rsidR="00A31D84" w:rsidRDefault="00000000">
            <w:pPr>
              <w:spacing w:before="40" w:after="40"/>
            </w:pPr>
            <w:r>
              <w:rPr>
                <w:b/>
                <w:color w:val="13487F"/>
                <w:sz w:val="18"/>
              </w:rPr>
              <w:t>Confirmation that an unsigned-in user can fetch the full catalogue</w:t>
            </w:r>
          </w:p>
        </w:tc>
        <w:tc>
          <w:tcPr>
            <w:tcW w:w="600" w:type="dxa"/>
          </w:tcPr>
          <w:p w14:paraId="70512C02"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75122E67" w14:textId="77777777" w:rsidR="00A31D84" w:rsidRDefault="00000000">
            <w:pPr>
              <w:spacing w:before="40" w:after="40"/>
            </w:pPr>
            <w:r>
              <w:rPr>
                <w:color w:val="16233B"/>
                <w:sz w:val="18"/>
              </w:rPr>
              <w:t>CRITICAL — the browse-before-sign-in model depends on it</w:t>
            </w:r>
          </w:p>
        </w:tc>
      </w:tr>
      <w:tr w:rsidR="00A31D84" w14:paraId="1920E409" w14:textId="77777777">
        <w:trPr>
          <w:jc w:val="center"/>
        </w:trPr>
        <w:tc>
          <w:tcPr>
            <w:tcW w:w="5100" w:type="dxa"/>
          </w:tcPr>
          <w:p w14:paraId="533DF864" w14:textId="77777777" w:rsidR="00A31D84" w:rsidRDefault="00000000">
            <w:pPr>
              <w:spacing w:before="40" w:after="40"/>
            </w:pPr>
            <w:r>
              <w:rPr>
                <w:b/>
                <w:color w:val="13487F"/>
                <w:sz w:val="18"/>
              </w:rPr>
              <w:t>A per-item access-tier field. OPDS defines nothing equivalent, so this is an addition</w:t>
            </w:r>
          </w:p>
        </w:tc>
        <w:tc>
          <w:tcPr>
            <w:tcW w:w="600" w:type="dxa"/>
          </w:tcPr>
          <w:p w14:paraId="0B6EFA3C"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3B828479" w14:textId="77777777" w:rsidR="00A31D84" w:rsidRDefault="00000000">
            <w:pPr>
              <w:spacing w:before="40" w:after="40"/>
            </w:pPr>
            <w:r>
              <w:rPr>
                <w:color w:val="16233B"/>
                <w:sz w:val="18"/>
              </w:rPr>
              <w:t>CRITICAL — without it there is no badge and no correct action anywhere</w:t>
            </w:r>
          </w:p>
        </w:tc>
      </w:tr>
      <w:tr w:rsidR="00A31D84" w14:paraId="538F1350" w14:textId="77777777">
        <w:trPr>
          <w:jc w:val="center"/>
        </w:trPr>
        <w:tc>
          <w:tcPr>
            <w:tcW w:w="5100" w:type="dxa"/>
          </w:tcPr>
          <w:p w14:paraId="1DD8EB16" w14:textId="77777777" w:rsidR="00A31D84" w:rsidRDefault="00000000">
            <w:pPr>
              <w:spacing w:before="40" w:after="40"/>
            </w:pPr>
            <w:r>
              <w:rPr>
                <w:b/>
                <w:color w:val="13487F"/>
                <w:sz w:val="18"/>
              </w:rPr>
              <w:t>Sample catalogue feed and sample institution list</w:t>
            </w:r>
          </w:p>
        </w:tc>
        <w:tc>
          <w:tcPr>
            <w:tcW w:w="600" w:type="dxa"/>
          </w:tcPr>
          <w:p w14:paraId="25BF7F37"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3E801AC0" w14:textId="77777777" w:rsidR="00A31D84" w:rsidRDefault="00000000">
            <w:pPr>
              <w:spacing w:before="40" w:after="40"/>
            </w:pPr>
            <w:r>
              <w:rPr>
                <w:color w:val="16233B"/>
                <w:sz w:val="18"/>
              </w:rPr>
              <w:t>We build our own if it is late, then reshape</w:t>
            </w:r>
          </w:p>
        </w:tc>
      </w:tr>
      <w:tr w:rsidR="00A31D84" w14:paraId="2708C577" w14:textId="77777777">
        <w:trPr>
          <w:jc w:val="center"/>
        </w:trPr>
        <w:tc>
          <w:tcPr>
            <w:tcW w:w="5100" w:type="dxa"/>
          </w:tcPr>
          <w:p w14:paraId="32E4BC8E" w14:textId="77777777" w:rsidR="00A31D84" w:rsidRDefault="00000000">
            <w:pPr>
              <w:spacing w:before="40" w:after="40"/>
            </w:pPr>
            <w:r>
              <w:rPr>
                <w:b/>
                <w:color w:val="13487F"/>
                <w:sz w:val="18"/>
              </w:rPr>
              <w:lastRenderedPageBreak/>
              <w:t>What the three feeds are split by, and what to call them</w:t>
            </w:r>
          </w:p>
        </w:tc>
        <w:tc>
          <w:tcPr>
            <w:tcW w:w="600" w:type="dxa"/>
          </w:tcPr>
          <w:p w14:paraId="0C225AEC"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1D06C037" w14:textId="77777777" w:rsidR="00A31D84" w:rsidRDefault="00000000">
            <w:pPr>
              <w:spacing w:before="40" w:after="40"/>
            </w:pPr>
            <w:r>
              <w:rPr>
                <w:color w:val="16233B"/>
                <w:sz w:val="18"/>
              </w:rPr>
              <w:t>Drives the tab bar; kept configurable so a change is cheap</w:t>
            </w:r>
          </w:p>
        </w:tc>
      </w:tr>
      <w:tr w:rsidR="00A31D84" w14:paraId="48B3E1BD" w14:textId="77777777">
        <w:trPr>
          <w:jc w:val="center"/>
        </w:trPr>
        <w:tc>
          <w:tcPr>
            <w:tcW w:w="5100" w:type="dxa"/>
          </w:tcPr>
          <w:p w14:paraId="168C24A6" w14:textId="77777777" w:rsidR="00A31D84" w:rsidRDefault="00000000">
            <w:pPr>
              <w:spacing w:before="40" w:after="40"/>
            </w:pPr>
            <w:r>
              <w:rPr>
                <w:b/>
                <w:color w:val="13487F"/>
                <w:sz w:val="18"/>
              </w:rPr>
              <w:t>Whether a title can appear in more than one feed</w:t>
            </w:r>
          </w:p>
        </w:tc>
        <w:tc>
          <w:tcPr>
            <w:tcW w:w="600" w:type="dxa"/>
          </w:tcPr>
          <w:p w14:paraId="1966B38C"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1402C107" w14:textId="77777777" w:rsidR="00A31D84" w:rsidRDefault="00000000">
            <w:pPr>
              <w:spacing w:before="40" w:after="40"/>
            </w:pPr>
            <w:r>
              <w:rPr>
                <w:color w:val="16233B"/>
                <w:sz w:val="18"/>
              </w:rPr>
              <w:t>Decides whether we need to remove duplicates</w:t>
            </w:r>
          </w:p>
        </w:tc>
      </w:tr>
      <w:tr w:rsidR="00A31D84" w14:paraId="15CDC308" w14:textId="77777777">
        <w:trPr>
          <w:jc w:val="center"/>
        </w:trPr>
        <w:tc>
          <w:tcPr>
            <w:tcW w:w="5100" w:type="dxa"/>
          </w:tcPr>
          <w:p w14:paraId="37E7F257" w14:textId="77777777" w:rsidR="00A31D84" w:rsidRDefault="00000000">
            <w:pPr>
              <w:spacing w:before="40" w:after="40"/>
            </w:pPr>
            <w:r>
              <w:rPr>
                <w:b/>
                <w:color w:val="13487F"/>
                <w:sz w:val="18"/>
              </w:rPr>
              <w:t>Whether search reaches you per feed or across all three</w:t>
            </w:r>
          </w:p>
        </w:tc>
        <w:tc>
          <w:tcPr>
            <w:tcW w:w="600" w:type="dxa"/>
          </w:tcPr>
          <w:p w14:paraId="5848D5E9"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7D433178" w14:textId="77777777" w:rsidR="00A31D84" w:rsidRDefault="00000000">
            <w:pPr>
              <w:spacing w:before="40" w:after="40"/>
            </w:pPr>
            <w:r>
              <w:rPr>
                <w:color w:val="16233B"/>
                <w:sz w:val="18"/>
              </w:rPr>
              <w:t>Global search is significantly more work than per-feed</w:t>
            </w:r>
          </w:p>
        </w:tc>
      </w:tr>
      <w:tr w:rsidR="00A31D84" w14:paraId="5A3E89D5" w14:textId="77777777">
        <w:trPr>
          <w:jc w:val="center"/>
        </w:trPr>
        <w:tc>
          <w:tcPr>
            <w:tcW w:w="5100" w:type="dxa"/>
          </w:tcPr>
          <w:p w14:paraId="11BFB5BE" w14:textId="77777777" w:rsidR="00A31D84" w:rsidRDefault="00000000">
            <w:pPr>
              <w:spacing w:before="40" w:after="40"/>
            </w:pPr>
            <w:r>
              <w:rPr>
                <w:b/>
                <w:color w:val="13487F"/>
                <w:sz w:val="18"/>
              </w:rPr>
              <w:t>How DOI and ISBN are written in the feed</w:t>
            </w:r>
          </w:p>
        </w:tc>
        <w:tc>
          <w:tcPr>
            <w:tcW w:w="600" w:type="dxa"/>
          </w:tcPr>
          <w:p w14:paraId="02ABF778"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1A4167F9" w14:textId="77777777" w:rsidR="00A31D84" w:rsidRDefault="00000000">
            <w:pPr>
              <w:spacing w:before="40" w:after="40"/>
            </w:pPr>
            <w:r>
              <w:rPr>
                <w:color w:val="16233B"/>
                <w:sz w:val="18"/>
              </w:rPr>
              <w:t>Needed for exact-match search</w:t>
            </w:r>
          </w:p>
        </w:tc>
      </w:tr>
      <w:tr w:rsidR="00A31D84" w14:paraId="69613C89" w14:textId="77777777">
        <w:trPr>
          <w:jc w:val="center"/>
        </w:trPr>
        <w:tc>
          <w:tcPr>
            <w:tcW w:w="5100" w:type="dxa"/>
          </w:tcPr>
          <w:p w14:paraId="2C3AA113" w14:textId="77777777" w:rsidR="00A31D84" w:rsidRDefault="00000000">
            <w:pPr>
              <w:spacing w:before="40" w:after="40"/>
            </w:pPr>
            <w:r>
              <w:rPr>
                <w:b/>
                <w:color w:val="13487F"/>
                <w:sz w:val="18"/>
              </w:rPr>
              <w:t>Whether the feed is scoped after sign-in, or we filter it</w:t>
            </w:r>
          </w:p>
        </w:tc>
        <w:tc>
          <w:tcPr>
            <w:tcW w:w="600" w:type="dxa"/>
          </w:tcPr>
          <w:p w14:paraId="60421092"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6182937E" w14:textId="77777777" w:rsidR="00A31D84" w:rsidRDefault="00000000">
            <w:pPr>
              <w:spacing w:before="40" w:after="40"/>
            </w:pPr>
            <w:r>
              <w:rPr>
                <w:color w:val="16233B"/>
                <w:sz w:val="18"/>
              </w:rPr>
              <w:t>Changes where entitlement filtering happens</w:t>
            </w:r>
          </w:p>
        </w:tc>
      </w:tr>
      <w:tr w:rsidR="00A31D84" w14:paraId="0D11D18D" w14:textId="77777777">
        <w:trPr>
          <w:jc w:val="center"/>
        </w:trPr>
        <w:tc>
          <w:tcPr>
            <w:tcW w:w="5100" w:type="dxa"/>
          </w:tcPr>
          <w:p w14:paraId="525C45F6" w14:textId="77777777" w:rsidR="00A31D84" w:rsidRDefault="00000000">
            <w:pPr>
              <w:spacing w:before="40" w:after="40"/>
            </w:pPr>
            <w:r>
              <w:rPr>
                <w:b/>
                <w:color w:val="13487F"/>
                <w:sz w:val="18"/>
              </w:rPr>
              <w:t>Pagination style, result counts, and how sorting is expressed</w:t>
            </w:r>
          </w:p>
        </w:tc>
        <w:tc>
          <w:tcPr>
            <w:tcW w:w="600" w:type="dxa"/>
          </w:tcPr>
          <w:p w14:paraId="38F4C150"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20A8F6D3" w14:textId="77777777" w:rsidR="00A31D84" w:rsidRDefault="00000000">
            <w:pPr>
              <w:spacing w:before="40" w:after="40"/>
            </w:pPr>
            <w:r>
              <w:rPr>
                <w:color w:val="16233B"/>
                <w:sz w:val="18"/>
              </w:rPr>
              <w:t>We fall back to local handling</w:t>
            </w:r>
          </w:p>
        </w:tc>
      </w:tr>
      <w:tr w:rsidR="00A31D84" w14:paraId="227C7716" w14:textId="77777777">
        <w:trPr>
          <w:jc w:val="center"/>
        </w:trPr>
        <w:tc>
          <w:tcPr>
            <w:tcW w:w="5100" w:type="dxa"/>
          </w:tcPr>
          <w:p w14:paraId="7FA0B9FA" w14:textId="77777777" w:rsidR="00A31D84" w:rsidRDefault="00000000">
            <w:pPr>
              <w:spacing w:before="40" w:after="40"/>
            </w:pPr>
            <w:r>
              <w:rPr>
                <w:b/>
                <w:color w:val="13487F"/>
                <w:sz w:val="18"/>
              </w:rPr>
              <w:t>Which metadata fields are reliably populated</w:t>
            </w:r>
          </w:p>
        </w:tc>
        <w:tc>
          <w:tcPr>
            <w:tcW w:w="600" w:type="dxa"/>
          </w:tcPr>
          <w:p w14:paraId="540BAF05"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5F462EC0" w14:textId="77777777" w:rsidR="00A31D84" w:rsidRDefault="00000000">
            <w:pPr>
              <w:spacing w:before="40" w:after="40"/>
            </w:pPr>
            <w:r>
              <w:rPr>
                <w:color w:val="16233B"/>
                <w:sz w:val="18"/>
              </w:rPr>
              <w:t>We render what exists</w:t>
            </w:r>
          </w:p>
        </w:tc>
      </w:tr>
      <w:tr w:rsidR="00A31D84" w14:paraId="077DFDEC" w14:textId="77777777">
        <w:trPr>
          <w:jc w:val="center"/>
        </w:trPr>
        <w:tc>
          <w:tcPr>
            <w:tcW w:w="5100" w:type="dxa"/>
          </w:tcPr>
          <w:p w14:paraId="1BF139B9" w14:textId="77777777" w:rsidR="00A31D84" w:rsidRDefault="00000000">
            <w:pPr>
              <w:spacing w:before="40" w:after="40"/>
            </w:pPr>
            <w:r>
              <w:rPr>
                <w:b/>
                <w:color w:val="13487F"/>
                <w:sz w:val="18"/>
              </w:rPr>
              <w:t>Whether journals are flat or nested</w:t>
            </w:r>
          </w:p>
        </w:tc>
        <w:tc>
          <w:tcPr>
            <w:tcW w:w="600" w:type="dxa"/>
          </w:tcPr>
          <w:p w14:paraId="10402090"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072DEA31" w14:textId="77777777" w:rsidR="00A31D84" w:rsidRDefault="00000000">
            <w:pPr>
              <w:spacing w:before="40" w:after="40"/>
            </w:pPr>
            <w:r>
              <w:rPr>
                <w:color w:val="16233B"/>
                <w:sz w:val="18"/>
              </w:rPr>
              <w:t>Changes journal navigation</w:t>
            </w:r>
          </w:p>
        </w:tc>
      </w:tr>
      <w:tr w:rsidR="00A31D84" w14:paraId="1B284005" w14:textId="77777777">
        <w:trPr>
          <w:jc w:val="center"/>
        </w:trPr>
        <w:tc>
          <w:tcPr>
            <w:tcW w:w="5100" w:type="dxa"/>
          </w:tcPr>
          <w:p w14:paraId="0782E8FB" w14:textId="77777777" w:rsidR="00A31D84" w:rsidRDefault="00000000">
            <w:pPr>
              <w:spacing w:before="40" w:after="40"/>
            </w:pPr>
            <w:r>
              <w:rPr>
                <w:b/>
                <w:color w:val="13487F"/>
                <w:sz w:val="18"/>
              </w:rPr>
              <w:t>Institution field list, sign-in type, and logos</w:t>
            </w:r>
          </w:p>
        </w:tc>
        <w:tc>
          <w:tcPr>
            <w:tcW w:w="600" w:type="dxa"/>
          </w:tcPr>
          <w:p w14:paraId="44309909"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176BBC6C" w14:textId="77777777" w:rsidR="00A31D84" w:rsidRDefault="00000000">
            <w:pPr>
              <w:spacing w:before="40" w:after="40"/>
            </w:pPr>
            <w:r>
              <w:rPr>
                <w:color w:val="16233B"/>
                <w:sz w:val="18"/>
              </w:rPr>
              <w:t>We use placeholders otherwise</w:t>
            </w:r>
          </w:p>
        </w:tc>
      </w:tr>
    </w:tbl>
    <w:p w14:paraId="722CCFE9" w14:textId="77777777" w:rsidR="00A31D84" w:rsidRDefault="00A31D84">
      <w:pPr>
        <w:spacing w:after="160"/>
      </w:pPr>
    </w:p>
    <w:p w14:paraId="3C312484" w14:textId="77777777" w:rsidR="00A31D84" w:rsidRDefault="00000000">
      <w:pPr>
        <w:spacing w:before="280" w:after="80"/>
      </w:pPr>
      <w:r>
        <w:rPr>
          <w:rFonts w:ascii="Georgia" w:hAnsi="Georgia"/>
          <w:b/>
          <w:color w:val="13487F"/>
          <w:sz w:val="26"/>
        </w:rPr>
        <w:t>From the authentication team</w:t>
      </w:r>
    </w:p>
    <w:tbl>
      <w:tblPr>
        <w:tblStyle w:val="TableGrid"/>
        <w:tblW w:w="0" w:type="auto"/>
        <w:jc w:val="center"/>
        <w:tblLook w:val="04A0" w:firstRow="1" w:lastRow="0" w:firstColumn="1" w:lastColumn="0" w:noHBand="0" w:noVBand="1"/>
      </w:tblPr>
      <w:tblGrid>
        <w:gridCol w:w="5094"/>
        <w:gridCol w:w="600"/>
        <w:gridCol w:w="4088"/>
      </w:tblGrid>
      <w:tr w:rsidR="00A31D84" w14:paraId="54FADBB3" w14:textId="77777777">
        <w:trPr>
          <w:jc w:val="center"/>
        </w:trPr>
        <w:tc>
          <w:tcPr>
            <w:tcW w:w="5100" w:type="dxa"/>
            <w:shd w:val="clear" w:color="auto" w:fill="13487F"/>
          </w:tcPr>
          <w:p w14:paraId="4452B3FE" w14:textId="77777777" w:rsidR="00A31D84" w:rsidRDefault="00000000">
            <w:pPr>
              <w:spacing w:before="40" w:after="40"/>
            </w:pPr>
            <w:r>
              <w:rPr>
                <w:b/>
                <w:color w:val="FFFFFF"/>
                <w:sz w:val="17"/>
              </w:rPr>
              <w:t>Need</w:t>
            </w:r>
          </w:p>
        </w:tc>
        <w:tc>
          <w:tcPr>
            <w:tcW w:w="600" w:type="dxa"/>
            <w:shd w:val="clear" w:color="auto" w:fill="13487F"/>
          </w:tcPr>
          <w:p w14:paraId="33D00186" w14:textId="77777777" w:rsidR="00A31D84" w:rsidRDefault="00000000">
            <w:pPr>
              <w:spacing w:before="40" w:after="40"/>
            </w:pPr>
            <w:r>
              <w:rPr>
                <w:b/>
                <w:color w:val="FFFFFF"/>
                <w:sz w:val="17"/>
              </w:rPr>
              <w:t>By</w:t>
            </w:r>
          </w:p>
        </w:tc>
        <w:tc>
          <w:tcPr>
            <w:tcW w:w="4092" w:type="dxa"/>
            <w:shd w:val="clear" w:color="auto" w:fill="13487F"/>
          </w:tcPr>
          <w:p w14:paraId="4DD73AE2" w14:textId="77777777" w:rsidR="00A31D84" w:rsidRDefault="00000000">
            <w:pPr>
              <w:spacing w:before="40" w:after="40"/>
            </w:pPr>
            <w:r>
              <w:rPr>
                <w:b/>
                <w:color w:val="FFFFFF"/>
                <w:sz w:val="17"/>
              </w:rPr>
              <w:t>Why it matters</w:t>
            </w:r>
          </w:p>
        </w:tc>
      </w:tr>
      <w:tr w:rsidR="00A31D84" w14:paraId="59DA85E7" w14:textId="77777777">
        <w:trPr>
          <w:jc w:val="center"/>
        </w:trPr>
        <w:tc>
          <w:tcPr>
            <w:tcW w:w="5100" w:type="dxa"/>
          </w:tcPr>
          <w:p w14:paraId="36CB3593" w14:textId="77777777" w:rsidR="00A31D84" w:rsidRDefault="00000000">
            <w:pPr>
              <w:spacing w:before="40" w:after="40"/>
            </w:pPr>
            <w:r>
              <w:rPr>
                <w:b/>
                <w:color w:val="13487F"/>
                <w:sz w:val="18"/>
              </w:rPr>
              <w:t>One call returning loan state for a page of items</w:t>
            </w:r>
          </w:p>
        </w:tc>
        <w:tc>
          <w:tcPr>
            <w:tcW w:w="600" w:type="dxa"/>
          </w:tcPr>
          <w:p w14:paraId="2CD3102F"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3820B55D" w14:textId="77777777" w:rsidR="00A31D84" w:rsidRDefault="00000000">
            <w:pPr>
              <w:spacing w:before="40" w:after="40"/>
            </w:pPr>
            <w:r>
              <w:rPr>
                <w:color w:val="16233B"/>
                <w:sz w:val="18"/>
              </w:rPr>
              <w:t>CRITICAL — per-item calls would make a page of results visibly slow</w:t>
            </w:r>
          </w:p>
        </w:tc>
      </w:tr>
      <w:tr w:rsidR="00A31D84" w14:paraId="6BF0DB13" w14:textId="77777777">
        <w:trPr>
          <w:jc w:val="center"/>
        </w:trPr>
        <w:tc>
          <w:tcPr>
            <w:tcW w:w="5100" w:type="dxa"/>
          </w:tcPr>
          <w:p w14:paraId="2F4FD5F2" w14:textId="77777777" w:rsidR="00A31D84" w:rsidRDefault="00000000">
            <w:pPr>
              <w:spacing w:before="40" w:after="40"/>
            </w:pPr>
            <w:r>
              <w:rPr>
                <w:b/>
                <w:color w:val="13487F"/>
                <w:sz w:val="18"/>
              </w:rPr>
              <w:t>The sign-in handoff contract — what we pass, how control returns</w:t>
            </w:r>
          </w:p>
        </w:tc>
        <w:tc>
          <w:tcPr>
            <w:tcW w:w="600" w:type="dxa"/>
          </w:tcPr>
          <w:p w14:paraId="24CF7564"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45D733F3" w14:textId="77777777" w:rsidR="00A31D84" w:rsidRDefault="00000000">
            <w:pPr>
              <w:spacing w:before="40" w:after="40"/>
            </w:pPr>
            <w:r>
              <w:rPr>
                <w:color w:val="16233B"/>
                <w:sz w:val="18"/>
              </w:rPr>
              <w:t>We route to a placeholder otherwise</w:t>
            </w:r>
          </w:p>
        </w:tc>
      </w:tr>
      <w:tr w:rsidR="00A31D84" w14:paraId="567CCFAD" w14:textId="77777777">
        <w:trPr>
          <w:jc w:val="center"/>
        </w:trPr>
        <w:tc>
          <w:tcPr>
            <w:tcW w:w="5100" w:type="dxa"/>
          </w:tcPr>
          <w:p w14:paraId="12115407" w14:textId="77777777" w:rsidR="00A31D84" w:rsidRDefault="00000000">
            <w:pPr>
              <w:spacing w:before="40" w:after="40"/>
            </w:pPr>
            <w:r>
              <w:rPr>
                <w:b/>
                <w:color w:val="13487F"/>
                <w:sz w:val="18"/>
              </w:rPr>
              <w:t>Whether sign-in leaves the app, and how control comes back</w:t>
            </w:r>
          </w:p>
        </w:tc>
        <w:tc>
          <w:tcPr>
            <w:tcW w:w="600" w:type="dxa"/>
          </w:tcPr>
          <w:p w14:paraId="3DD14837"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20CC3E40" w14:textId="77777777" w:rsidR="00A31D84" w:rsidRDefault="00000000">
            <w:pPr>
              <w:spacing w:before="40" w:after="40"/>
            </w:pPr>
            <w:r>
              <w:rPr>
                <w:color w:val="16233B"/>
                <w:sz w:val="18"/>
              </w:rPr>
              <w:t>Decides whether we store the tapped item on disk</w:t>
            </w:r>
          </w:p>
        </w:tc>
      </w:tr>
      <w:tr w:rsidR="00A31D84" w14:paraId="7BA9C561" w14:textId="77777777">
        <w:trPr>
          <w:jc w:val="center"/>
        </w:trPr>
        <w:tc>
          <w:tcPr>
            <w:tcW w:w="5100" w:type="dxa"/>
          </w:tcPr>
          <w:p w14:paraId="0D38030E" w14:textId="77777777" w:rsidR="00A31D84" w:rsidRDefault="00000000">
            <w:pPr>
              <w:spacing w:before="40" w:after="40"/>
            </w:pPr>
            <w:r>
              <w:rPr>
                <w:b/>
                <w:color w:val="13487F"/>
                <w:sz w:val="18"/>
              </w:rPr>
              <w:t>Whether the session tells us institutional from individual</w:t>
            </w:r>
          </w:p>
        </w:tc>
        <w:tc>
          <w:tcPr>
            <w:tcW w:w="600" w:type="dxa"/>
          </w:tcPr>
          <w:p w14:paraId="38D9F672"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1CD03C66" w14:textId="77777777" w:rsidR="00A31D84" w:rsidRDefault="00000000">
            <w:pPr>
              <w:spacing w:before="40" w:after="40"/>
            </w:pPr>
            <w:r>
              <w:rPr>
                <w:color w:val="16233B"/>
                <w:sz w:val="18"/>
              </w:rPr>
              <w:t>Decides when Subscribe appears</w:t>
            </w:r>
          </w:p>
        </w:tc>
      </w:tr>
      <w:tr w:rsidR="00A31D84" w14:paraId="643C683B" w14:textId="77777777">
        <w:trPr>
          <w:jc w:val="center"/>
        </w:trPr>
        <w:tc>
          <w:tcPr>
            <w:tcW w:w="5100" w:type="dxa"/>
          </w:tcPr>
          <w:p w14:paraId="3B062083" w14:textId="77777777" w:rsidR="00A31D84" w:rsidRDefault="00000000">
            <w:pPr>
              <w:spacing w:before="40" w:after="40"/>
            </w:pPr>
            <w:r>
              <w:rPr>
                <w:b/>
                <w:color w:val="13487F"/>
                <w:sz w:val="18"/>
              </w:rPr>
              <w:t>What an individual account is entitled to beyond Open Access</w:t>
            </w:r>
          </w:p>
        </w:tc>
        <w:tc>
          <w:tcPr>
            <w:tcW w:w="600" w:type="dxa"/>
          </w:tcPr>
          <w:p w14:paraId="751A083F"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92" w:type="dxa"/>
          </w:tcPr>
          <w:p w14:paraId="02BB3DBF" w14:textId="77777777" w:rsidR="00A31D84" w:rsidRDefault="00000000">
            <w:pPr>
              <w:spacing w:before="40" w:after="40"/>
            </w:pPr>
            <w:r>
              <w:rPr>
                <w:color w:val="16233B"/>
                <w:sz w:val="18"/>
              </w:rPr>
              <w:t>Shapes the individual feed</w:t>
            </w:r>
          </w:p>
        </w:tc>
      </w:tr>
      <w:tr w:rsidR="00A31D84" w14:paraId="637FEAE1" w14:textId="77777777">
        <w:trPr>
          <w:jc w:val="center"/>
        </w:trPr>
        <w:tc>
          <w:tcPr>
            <w:tcW w:w="5100" w:type="dxa"/>
          </w:tcPr>
          <w:p w14:paraId="7C7780D7" w14:textId="77777777" w:rsidR="00A31D84" w:rsidRDefault="00000000">
            <w:pPr>
              <w:spacing w:before="40" w:after="40"/>
            </w:pPr>
            <w:r>
              <w:rPr>
                <w:b/>
                <w:color w:val="13487F"/>
                <w:sz w:val="18"/>
              </w:rPr>
              <w:t>How we read the signed-in user’s session and entitlements</w:t>
            </w:r>
          </w:p>
        </w:tc>
        <w:tc>
          <w:tcPr>
            <w:tcW w:w="600" w:type="dxa"/>
          </w:tcPr>
          <w:p w14:paraId="0F96AE0C"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229FB217" w14:textId="77777777" w:rsidR="00A31D84" w:rsidRDefault="00000000">
            <w:pPr>
              <w:spacing w:before="40" w:after="40"/>
            </w:pPr>
            <w:r>
              <w:rPr>
                <w:color w:val="16233B"/>
                <w:sz w:val="18"/>
              </w:rPr>
              <w:t>We mock the shape otherwise</w:t>
            </w:r>
          </w:p>
        </w:tc>
      </w:tr>
      <w:tr w:rsidR="00A31D84" w14:paraId="7E3B62CC" w14:textId="77777777">
        <w:trPr>
          <w:jc w:val="center"/>
        </w:trPr>
        <w:tc>
          <w:tcPr>
            <w:tcW w:w="5100" w:type="dxa"/>
          </w:tcPr>
          <w:p w14:paraId="3D62A15D" w14:textId="77777777" w:rsidR="00A31D84" w:rsidRDefault="00000000">
            <w:pPr>
              <w:spacing w:before="40" w:after="40"/>
            </w:pPr>
            <w:r>
              <w:rPr>
                <w:b/>
                <w:color w:val="13487F"/>
                <w:sz w:val="18"/>
              </w:rPr>
              <w:t>The Borrow endpoint and its full set of failure responses</w:t>
            </w:r>
          </w:p>
        </w:tc>
        <w:tc>
          <w:tcPr>
            <w:tcW w:w="600" w:type="dxa"/>
          </w:tcPr>
          <w:p w14:paraId="0BD54EA5"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1136CBF6" w14:textId="77777777" w:rsidR="00A31D84" w:rsidRDefault="00000000">
            <w:pPr>
              <w:spacing w:before="40" w:after="40"/>
            </w:pPr>
            <w:r>
              <w:rPr>
                <w:color w:val="16233B"/>
                <w:sz w:val="18"/>
              </w:rPr>
              <w:t>We build to the written contract</w:t>
            </w:r>
          </w:p>
        </w:tc>
      </w:tr>
      <w:tr w:rsidR="00A31D84" w14:paraId="2E1BA84B" w14:textId="77777777">
        <w:trPr>
          <w:jc w:val="center"/>
        </w:trPr>
        <w:tc>
          <w:tcPr>
            <w:tcW w:w="5100" w:type="dxa"/>
          </w:tcPr>
          <w:p w14:paraId="474A226C" w14:textId="77777777" w:rsidR="00A31D84" w:rsidRDefault="00000000">
            <w:pPr>
              <w:spacing w:before="40" w:after="40"/>
            </w:pPr>
            <w:r>
              <w:rPr>
                <w:b/>
                <w:color w:val="13487F"/>
                <w:sz w:val="18"/>
              </w:rPr>
              <w:t>Copies and availability, so we can show a waitlist before the user taps</w:t>
            </w:r>
          </w:p>
        </w:tc>
        <w:tc>
          <w:tcPr>
            <w:tcW w:w="600" w:type="dxa"/>
          </w:tcPr>
          <w:p w14:paraId="02175BE2"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552CADFD" w14:textId="77777777" w:rsidR="00A31D84" w:rsidRDefault="00000000">
            <w:pPr>
              <w:spacing w:before="40" w:after="40"/>
            </w:pPr>
            <w:proofErr w:type="gramStart"/>
            <w:r>
              <w:rPr>
                <w:color w:val="16233B"/>
                <w:sz w:val="18"/>
              </w:rPr>
              <w:t>Otherwise</w:t>
            </w:r>
            <w:proofErr w:type="gramEnd"/>
            <w:r>
              <w:rPr>
                <w:color w:val="16233B"/>
                <w:sz w:val="18"/>
              </w:rPr>
              <w:t xml:space="preserve"> we only show it after a failure</w:t>
            </w:r>
          </w:p>
        </w:tc>
      </w:tr>
      <w:tr w:rsidR="00A31D84" w14:paraId="4A364499" w14:textId="77777777">
        <w:trPr>
          <w:jc w:val="center"/>
        </w:trPr>
        <w:tc>
          <w:tcPr>
            <w:tcW w:w="5100" w:type="dxa"/>
          </w:tcPr>
          <w:p w14:paraId="76140681" w14:textId="77777777" w:rsidR="00A31D84" w:rsidRDefault="00000000">
            <w:pPr>
              <w:spacing w:before="40" w:after="40"/>
            </w:pPr>
            <w:r>
              <w:rPr>
                <w:b/>
                <w:color w:val="13487F"/>
                <w:sz w:val="18"/>
              </w:rPr>
              <w:t>Loan duration, and what happens when one lapses mid-read</w:t>
            </w:r>
          </w:p>
        </w:tc>
        <w:tc>
          <w:tcPr>
            <w:tcW w:w="600" w:type="dxa"/>
          </w:tcPr>
          <w:p w14:paraId="794A8B14"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3BC68703" w14:textId="77777777" w:rsidR="00A31D84" w:rsidRDefault="00000000">
            <w:pPr>
              <w:spacing w:before="40" w:after="40"/>
            </w:pPr>
            <w:r>
              <w:rPr>
                <w:color w:val="16233B"/>
                <w:sz w:val="18"/>
              </w:rPr>
              <w:t>We treat a lapsed loan as no loan</w:t>
            </w:r>
          </w:p>
        </w:tc>
      </w:tr>
      <w:tr w:rsidR="00A31D84" w14:paraId="2AB9CCCE" w14:textId="77777777">
        <w:trPr>
          <w:jc w:val="center"/>
        </w:trPr>
        <w:tc>
          <w:tcPr>
            <w:tcW w:w="5100" w:type="dxa"/>
          </w:tcPr>
          <w:p w14:paraId="1EF27880" w14:textId="77777777" w:rsidR="00A31D84" w:rsidRDefault="00000000">
            <w:pPr>
              <w:spacing w:before="40" w:after="40"/>
            </w:pPr>
            <w:r>
              <w:rPr>
                <w:b/>
                <w:color w:val="13487F"/>
                <w:sz w:val="18"/>
              </w:rPr>
              <w:t xml:space="preserve">Session expiry </w:t>
            </w:r>
            <w:proofErr w:type="spellStart"/>
            <w:r>
              <w:rPr>
                <w:b/>
                <w:color w:val="13487F"/>
                <w:sz w:val="18"/>
              </w:rPr>
              <w:t>behaviour</w:t>
            </w:r>
            <w:proofErr w:type="spellEnd"/>
            <w:r>
              <w:rPr>
                <w:b/>
                <w:color w:val="13487F"/>
                <w:sz w:val="18"/>
              </w:rPr>
              <w:t xml:space="preserve"> while browsing</w:t>
            </w:r>
          </w:p>
        </w:tc>
        <w:tc>
          <w:tcPr>
            <w:tcW w:w="600" w:type="dxa"/>
          </w:tcPr>
          <w:p w14:paraId="570594F3"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0C300EF0" w14:textId="77777777" w:rsidR="00A31D84" w:rsidRDefault="00000000">
            <w:pPr>
              <w:spacing w:before="40" w:after="40"/>
            </w:pPr>
            <w:r>
              <w:rPr>
                <w:color w:val="16233B"/>
                <w:sz w:val="18"/>
              </w:rPr>
              <w:t>Handled generically otherwise</w:t>
            </w:r>
          </w:p>
        </w:tc>
      </w:tr>
      <w:tr w:rsidR="00A31D84" w14:paraId="4A874944" w14:textId="77777777">
        <w:trPr>
          <w:jc w:val="center"/>
        </w:trPr>
        <w:tc>
          <w:tcPr>
            <w:tcW w:w="5100" w:type="dxa"/>
          </w:tcPr>
          <w:p w14:paraId="34F2B67B" w14:textId="77777777" w:rsidR="00A31D84" w:rsidRDefault="00000000">
            <w:pPr>
              <w:spacing w:before="40" w:after="40"/>
            </w:pPr>
            <w:r>
              <w:rPr>
                <w:b/>
                <w:color w:val="13487F"/>
                <w:sz w:val="18"/>
              </w:rPr>
              <w:t>A mock sign-in screen we can route into</w:t>
            </w:r>
          </w:p>
        </w:tc>
        <w:tc>
          <w:tcPr>
            <w:tcW w:w="600" w:type="dxa"/>
          </w:tcPr>
          <w:p w14:paraId="5E4F56A3"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24BB8FC5" w14:textId="77777777" w:rsidR="00A31D84" w:rsidRDefault="00000000">
            <w:pPr>
              <w:spacing w:before="40" w:after="40"/>
            </w:pPr>
            <w:r>
              <w:rPr>
                <w:color w:val="16233B"/>
                <w:sz w:val="18"/>
              </w:rPr>
              <w:t>Placeholder otherwise</w:t>
            </w:r>
          </w:p>
        </w:tc>
      </w:tr>
    </w:tbl>
    <w:p w14:paraId="4312813B" w14:textId="77777777" w:rsidR="00A31D84" w:rsidRDefault="00A31D84">
      <w:pPr>
        <w:spacing w:after="160"/>
      </w:pPr>
    </w:p>
    <w:p w14:paraId="37F491DF" w14:textId="77777777" w:rsidR="00A31D84" w:rsidRDefault="00000000">
      <w:pPr>
        <w:spacing w:before="280" w:after="80"/>
      </w:pPr>
      <w:r>
        <w:rPr>
          <w:rFonts w:ascii="Georgia" w:hAnsi="Georgia"/>
          <w:b/>
          <w:color w:val="13487F"/>
          <w:sz w:val="26"/>
        </w:rPr>
        <w:lastRenderedPageBreak/>
        <w:t>From the reader team</w:t>
      </w:r>
    </w:p>
    <w:tbl>
      <w:tblPr>
        <w:tblStyle w:val="TableGrid"/>
        <w:tblW w:w="0" w:type="auto"/>
        <w:jc w:val="center"/>
        <w:tblLook w:val="04A0" w:firstRow="1" w:lastRow="0" w:firstColumn="1" w:lastColumn="0" w:noHBand="0" w:noVBand="1"/>
      </w:tblPr>
      <w:tblGrid>
        <w:gridCol w:w="5094"/>
        <w:gridCol w:w="600"/>
        <w:gridCol w:w="4088"/>
      </w:tblGrid>
      <w:tr w:rsidR="00A31D84" w14:paraId="6E23018F" w14:textId="77777777">
        <w:trPr>
          <w:jc w:val="center"/>
        </w:trPr>
        <w:tc>
          <w:tcPr>
            <w:tcW w:w="5100" w:type="dxa"/>
            <w:shd w:val="clear" w:color="auto" w:fill="13487F"/>
          </w:tcPr>
          <w:p w14:paraId="3C8CDEE5" w14:textId="77777777" w:rsidR="00A31D84" w:rsidRDefault="00000000">
            <w:pPr>
              <w:spacing w:before="40" w:after="40"/>
            </w:pPr>
            <w:r>
              <w:rPr>
                <w:b/>
                <w:color w:val="FFFFFF"/>
                <w:sz w:val="17"/>
              </w:rPr>
              <w:t>Need</w:t>
            </w:r>
          </w:p>
        </w:tc>
        <w:tc>
          <w:tcPr>
            <w:tcW w:w="600" w:type="dxa"/>
            <w:shd w:val="clear" w:color="auto" w:fill="13487F"/>
          </w:tcPr>
          <w:p w14:paraId="034FCA97" w14:textId="77777777" w:rsidR="00A31D84" w:rsidRDefault="00000000">
            <w:pPr>
              <w:spacing w:before="40" w:after="40"/>
            </w:pPr>
            <w:r>
              <w:rPr>
                <w:b/>
                <w:color w:val="FFFFFF"/>
                <w:sz w:val="17"/>
              </w:rPr>
              <w:t>By</w:t>
            </w:r>
          </w:p>
        </w:tc>
        <w:tc>
          <w:tcPr>
            <w:tcW w:w="4092" w:type="dxa"/>
            <w:shd w:val="clear" w:color="auto" w:fill="13487F"/>
          </w:tcPr>
          <w:p w14:paraId="271BBCB4" w14:textId="77777777" w:rsidR="00A31D84" w:rsidRDefault="00000000">
            <w:pPr>
              <w:spacing w:before="40" w:after="40"/>
            </w:pPr>
            <w:r>
              <w:rPr>
                <w:b/>
                <w:color w:val="FFFFFF"/>
                <w:sz w:val="17"/>
              </w:rPr>
              <w:t>Why it matters</w:t>
            </w:r>
          </w:p>
        </w:tc>
      </w:tr>
      <w:tr w:rsidR="00A31D84" w14:paraId="5B6EFCE2" w14:textId="77777777">
        <w:trPr>
          <w:jc w:val="center"/>
        </w:trPr>
        <w:tc>
          <w:tcPr>
            <w:tcW w:w="5100" w:type="dxa"/>
          </w:tcPr>
          <w:p w14:paraId="4FFFB652" w14:textId="77777777" w:rsidR="00A31D84" w:rsidRDefault="00000000">
            <w:pPr>
              <w:spacing w:before="40" w:after="40"/>
            </w:pPr>
            <w:r>
              <w:rPr>
                <w:b/>
                <w:color w:val="13487F"/>
                <w:sz w:val="18"/>
              </w:rPr>
              <w:t>How we launch the reader from an item</w:t>
            </w:r>
          </w:p>
        </w:tc>
        <w:tc>
          <w:tcPr>
            <w:tcW w:w="600" w:type="dxa"/>
          </w:tcPr>
          <w:p w14:paraId="20024CDF"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134BBBC4" w14:textId="77777777" w:rsidR="00A31D84" w:rsidRDefault="00000000">
            <w:pPr>
              <w:spacing w:before="40" w:after="40"/>
            </w:pPr>
            <w:r>
              <w:rPr>
                <w:color w:val="16233B"/>
                <w:sz w:val="18"/>
              </w:rPr>
              <w:t>Stubbed otherwise</w:t>
            </w:r>
          </w:p>
        </w:tc>
      </w:tr>
      <w:tr w:rsidR="00A31D84" w14:paraId="242BD824" w14:textId="77777777">
        <w:trPr>
          <w:jc w:val="center"/>
        </w:trPr>
        <w:tc>
          <w:tcPr>
            <w:tcW w:w="5100" w:type="dxa"/>
          </w:tcPr>
          <w:p w14:paraId="4BE84A29" w14:textId="77777777" w:rsidR="00A31D84" w:rsidRDefault="00000000">
            <w:pPr>
              <w:spacing w:before="40" w:after="40"/>
            </w:pPr>
            <w:r>
              <w:rPr>
                <w:b/>
                <w:color w:val="13487F"/>
                <w:sz w:val="18"/>
              </w:rPr>
              <w:t>How a download is handed over, and who stores it</w:t>
            </w:r>
          </w:p>
        </w:tc>
        <w:tc>
          <w:tcPr>
            <w:tcW w:w="600" w:type="dxa"/>
          </w:tcPr>
          <w:p w14:paraId="2971DB7E"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0FFE2706" w14:textId="77777777" w:rsidR="00A31D84" w:rsidRDefault="00000000">
            <w:pPr>
              <w:spacing w:before="40" w:after="40"/>
            </w:pPr>
            <w:r>
              <w:rPr>
                <w:color w:val="16233B"/>
                <w:sz w:val="18"/>
              </w:rPr>
              <w:t>Stubbed otherwise</w:t>
            </w:r>
          </w:p>
        </w:tc>
      </w:tr>
      <w:tr w:rsidR="00A31D84" w14:paraId="288A2FCB" w14:textId="77777777">
        <w:trPr>
          <w:jc w:val="center"/>
        </w:trPr>
        <w:tc>
          <w:tcPr>
            <w:tcW w:w="5100" w:type="dxa"/>
          </w:tcPr>
          <w:p w14:paraId="410F9114" w14:textId="77777777" w:rsidR="00A31D84" w:rsidRDefault="00000000">
            <w:pPr>
              <w:spacing w:before="40" w:after="40"/>
            </w:pPr>
            <w:r>
              <w:rPr>
                <w:b/>
                <w:color w:val="13487F"/>
                <w:sz w:val="18"/>
              </w:rPr>
              <w:t>Confirmation that Elite content cannot be downloaded at your end either</w:t>
            </w:r>
          </w:p>
        </w:tc>
        <w:tc>
          <w:tcPr>
            <w:tcW w:w="600" w:type="dxa"/>
          </w:tcPr>
          <w:p w14:paraId="0D3D885B"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0CA4C79B" w14:textId="77777777" w:rsidR="00A31D84" w:rsidRDefault="00000000">
            <w:pPr>
              <w:spacing w:before="40" w:after="40"/>
            </w:pPr>
            <w:r>
              <w:rPr>
                <w:color w:val="16233B"/>
                <w:sz w:val="18"/>
              </w:rPr>
              <w:t>We simply never offer it</w:t>
            </w:r>
          </w:p>
        </w:tc>
      </w:tr>
      <w:tr w:rsidR="00A31D84" w14:paraId="10409585" w14:textId="77777777">
        <w:trPr>
          <w:jc w:val="center"/>
        </w:trPr>
        <w:tc>
          <w:tcPr>
            <w:tcW w:w="5100" w:type="dxa"/>
          </w:tcPr>
          <w:p w14:paraId="58585836" w14:textId="77777777" w:rsidR="00A31D84" w:rsidRDefault="00000000">
            <w:pPr>
              <w:spacing w:before="40" w:after="40"/>
            </w:pPr>
            <w:r>
              <w:rPr>
                <w:b/>
                <w:color w:val="13487F"/>
                <w:sz w:val="18"/>
              </w:rPr>
              <w:t>Who shows the downloaded indicator on catalogue items</w:t>
            </w:r>
          </w:p>
        </w:tc>
        <w:tc>
          <w:tcPr>
            <w:tcW w:w="600" w:type="dxa"/>
          </w:tcPr>
          <w:p w14:paraId="503CE4CF"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4B22C732" w14:textId="77777777" w:rsidR="00A31D84" w:rsidRDefault="00000000">
            <w:pPr>
              <w:spacing w:before="40" w:after="40"/>
            </w:pPr>
            <w:r>
              <w:rPr>
                <w:color w:val="16233B"/>
                <w:sz w:val="18"/>
              </w:rPr>
              <w:t>Omitted initially</w:t>
            </w:r>
          </w:p>
        </w:tc>
      </w:tr>
      <w:tr w:rsidR="00A31D84" w14:paraId="36375B19" w14:textId="77777777">
        <w:trPr>
          <w:jc w:val="center"/>
        </w:trPr>
        <w:tc>
          <w:tcPr>
            <w:tcW w:w="5100" w:type="dxa"/>
          </w:tcPr>
          <w:p w14:paraId="18B4C651" w14:textId="77777777" w:rsidR="00A31D84" w:rsidRDefault="00000000">
            <w:pPr>
              <w:spacing w:before="40" w:after="40"/>
            </w:pPr>
            <w:r>
              <w:rPr>
                <w:b/>
                <w:color w:val="13487F"/>
                <w:sz w:val="18"/>
              </w:rPr>
              <w:t>Whether signed-out users can download, and who stores it</w:t>
            </w:r>
          </w:p>
        </w:tc>
        <w:tc>
          <w:tcPr>
            <w:tcW w:w="600" w:type="dxa"/>
          </w:tcPr>
          <w:p w14:paraId="6A28D156" w14:textId="77777777" w:rsidR="00A31D84" w:rsidRDefault="00000000">
            <w:pPr>
              <w:spacing w:before="40" w:after="40"/>
            </w:pPr>
            <w:proofErr w:type="spellStart"/>
            <w:r>
              <w:rPr>
                <w:color w:val="16233B"/>
                <w:sz w:val="18"/>
              </w:rPr>
              <w:t>Wk</w:t>
            </w:r>
            <w:proofErr w:type="spellEnd"/>
            <w:r>
              <w:rPr>
                <w:color w:val="16233B"/>
                <w:sz w:val="18"/>
              </w:rPr>
              <w:t xml:space="preserve"> 2</w:t>
            </w:r>
          </w:p>
        </w:tc>
        <w:tc>
          <w:tcPr>
            <w:tcW w:w="4092" w:type="dxa"/>
          </w:tcPr>
          <w:p w14:paraId="3AF3CE1F" w14:textId="77777777" w:rsidR="00A31D84" w:rsidRDefault="00000000">
            <w:pPr>
              <w:spacing w:before="40" w:after="40"/>
            </w:pPr>
            <w:r>
              <w:rPr>
                <w:color w:val="16233B"/>
                <w:sz w:val="18"/>
              </w:rPr>
              <w:t>Omitted otherwise</w:t>
            </w:r>
          </w:p>
        </w:tc>
      </w:tr>
    </w:tbl>
    <w:p w14:paraId="04AE8DC6" w14:textId="77777777" w:rsidR="00A31D84" w:rsidRDefault="00A31D84">
      <w:pPr>
        <w:spacing w:after="160"/>
      </w:pPr>
    </w:p>
    <w:p w14:paraId="3781A78B" w14:textId="77777777" w:rsidR="00A31D84" w:rsidRDefault="00000000">
      <w:pPr>
        <w:spacing w:before="280" w:after="80"/>
      </w:pPr>
      <w:r>
        <w:rPr>
          <w:rFonts w:ascii="Georgia" w:hAnsi="Georgia"/>
          <w:b/>
          <w:color w:val="13487F"/>
          <w:sz w:val="26"/>
        </w:rPr>
        <w:t>From leadership</w:t>
      </w:r>
    </w:p>
    <w:tbl>
      <w:tblPr>
        <w:tblStyle w:val="TableGrid"/>
        <w:tblW w:w="0" w:type="auto"/>
        <w:jc w:val="center"/>
        <w:tblLook w:val="04A0" w:firstRow="1" w:lastRow="0" w:firstColumn="1" w:lastColumn="0" w:noHBand="0" w:noVBand="1"/>
      </w:tblPr>
      <w:tblGrid>
        <w:gridCol w:w="5094"/>
        <w:gridCol w:w="600"/>
        <w:gridCol w:w="4088"/>
      </w:tblGrid>
      <w:tr w:rsidR="00A31D84" w14:paraId="515D8424" w14:textId="77777777" w:rsidTr="00BE33FB">
        <w:trPr>
          <w:jc w:val="center"/>
        </w:trPr>
        <w:tc>
          <w:tcPr>
            <w:tcW w:w="5094" w:type="dxa"/>
            <w:shd w:val="clear" w:color="auto" w:fill="13487F"/>
          </w:tcPr>
          <w:p w14:paraId="04054555" w14:textId="77777777" w:rsidR="00A31D84" w:rsidRDefault="00000000">
            <w:pPr>
              <w:spacing w:before="40" w:after="40"/>
            </w:pPr>
            <w:r>
              <w:rPr>
                <w:b/>
                <w:color w:val="FFFFFF"/>
                <w:sz w:val="17"/>
              </w:rPr>
              <w:t>Need</w:t>
            </w:r>
          </w:p>
        </w:tc>
        <w:tc>
          <w:tcPr>
            <w:tcW w:w="600" w:type="dxa"/>
            <w:shd w:val="clear" w:color="auto" w:fill="13487F"/>
          </w:tcPr>
          <w:p w14:paraId="59418C71" w14:textId="77777777" w:rsidR="00A31D84" w:rsidRDefault="00000000">
            <w:pPr>
              <w:spacing w:before="40" w:after="40"/>
            </w:pPr>
            <w:r>
              <w:rPr>
                <w:b/>
                <w:color w:val="FFFFFF"/>
                <w:sz w:val="17"/>
              </w:rPr>
              <w:t>By</w:t>
            </w:r>
          </w:p>
        </w:tc>
        <w:tc>
          <w:tcPr>
            <w:tcW w:w="4088" w:type="dxa"/>
            <w:shd w:val="clear" w:color="auto" w:fill="13487F"/>
          </w:tcPr>
          <w:p w14:paraId="42B5BE97" w14:textId="77777777" w:rsidR="00A31D84" w:rsidRDefault="00000000">
            <w:pPr>
              <w:spacing w:before="40" w:after="40"/>
            </w:pPr>
            <w:r>
              <w:rPr>
                <w:b/>
                <w:color w:val="FFFFFF"/>
                <w:sz w:val="17"/>
              </w:rPr>
              <w:t>Why it matters</w:t>
            </w:r>
          </w:p>
        </w:tc>
      </w:tr>
      <w:tr w:rsidR="00A31D84" w14:paraId="7C98B0FD" w14:textId="77777777" w:rsidTr="00BE33FB">
        <w:trPr>
          <w:jc w:val="center"/>
        </w:trPr>
        <w:tc>
          <w:tcPr>
            <w:tcW w:w="5094" w:type="dxa"/>
          </w:tcPr>
          <w:p w14:paraId="0BA33864" w14:textId="77777777" w:rsidR="00A31D84" w:rsidRDefault="00000000">
            <w:pPr>
              <w:spacing w:before="40" w:after="40"/>
            </w:pPr>
            <w:r>
              <w:rPr>
                <w:b/>
                <w:color w:val="13487F"/>
                <w:sz w:val="18"/>
              </w:rPr>
              <w:t>Confirmation that catalogue browse and unified search are ours to build</w:t>
            </w:r>
          </w:p>
        </w:tc>
        <w:tc>
          <w:tcPr>
            <w:tcW w:w="600" w:type="dxa"/>
          </w:tcPr>
          <w:p w14:paraId="0FB7099B"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88" w:type="dxa"/>
          </w:tcPr>
          <w:p w14:paraId="7BF83867" w14:textId="77777777" w:rsidR="00A31D84" w:rsidRDefault="00000000">
            <w:pPr>
              <w:spacing w:before="40" w:after="40"/>
            </w:pPr>
            <w:r>
              <w:rPr>
                <w:color w:val="16233B"/>
                <w:sz w:val="18"/>
              </w:rPr>
              <w:t>CRITICAL — most of this plan assumes it</w:t>
            </w:r>
          </w:p>
        </w:tc>
      </w:tr>
      <w:tr w:rsidR="00A31D84" w14:paraId="1C94E92A" w14:textId="77777777" w:rsidTr="00BE33FB">
        <w:trPr>
          <w:jc w:val="center"/>
        </w:trPr>
        <w:tc>
          <w:tcPr>
            <w:tcW w:w="5094" w:type="dxa"/>
          </w:tcPr>
          <w:p w14:paraId="08CAD792" w14:textId="77777777" w:rsidR="00A31D84" w:rsidRDefault="00000000">
            <w:pPr>
              <w:spacing w:before="40" w:after="40"/>
            </w:pPr>
            <w:r>
              <w:rPr>
                <w:b/>
                <w:color w:val="13487F"/>
                <w:sz w:val="18"/>
              </w:rPr>
              <w:t>Sign-off that the catalogue narrows to entitled content after sign-in</w:t>
            </w:r>
          </w:p>
        </w:tc>
        <w:tc>
          <w:tcPr>
            <w:tcW w:w="600" w:type="dxa"/>
          </w:tcPr>
          <w:p w14:paraId="68BCA0AD"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88" w:type="dxa"/>
          </w:tcPr>
          <w:p w14:paraId="276D063C" w14:textId="77777777" w:rsidR="00A31D84" w:rsidRDefault="00000000">
            <w:pPr>
              <w:spacing w:before="40" w:after="40"/>
            </w:pPr>
            <w:r>
              <w:rPr>
                <w:color w:val="16233B"/>
                <w:sz w:val="18"/>
              </w:rPr>
              <w:t>Reverses a statement in the signed design document</w:t>
            </w:r>
          </w:p>
        </w:tc>
      </w:tr>
      <w:tr w:rsidR="00A31D84" w14:paraId="6262CD8D" w14:textId="77777777" w:rsidTr="00BE33FB">
        <w:trPr>
          <w:jc w:val="center"/>
        </w:trPr>
        <w:tc>
          <w:tcPr>
            <w:tcW w:w="5094" w:type="dxa"/>
          </w:tcPr>
          <w:p w14:paraId="17C1C109" w14:textId="77777777" w:rsidR="00A31D84" w:rsidRDefault="00000000">
            <w:pPr>
              <w:spacing w:before="40" w:after="40"/>
            </w:pPr>
            <w:r>
              <w:rPr>
                <w:b/>
                <w:color w:val="13487F"/>
                <w:sz w:val="18"/>
              </w:rPr>
              <w:t>Sign-off that the three feeds appear as three tabs rather than one list</w:t>
            </w:r>
          </w:p>
        </w:tc>
        <w:tc>
          <w:tcPr>
            <w:tcW w:w="600" w:type="dxa"/>
          </w:tcPr>
          <w:p w14:paraId="7F172266"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88" w:type="dxa"/>
          </w:tcPr>
          <w:p w14:paraId="358FA2BC" w14:textId="77777777" w:rsidR="00A31D84" w:rsidRDefault="00000000">
            <w:pPr>
              <w:spacing w:before="40" w:after="40"/>
            </w:pPr>
            <w:r>
              <w:rPr>
                <w:color w:val="16233B"/>
                <w:sz w:val="18"/>
              </w:rPr>
              <w:t>Also differs from the design mockups</w:t>
            </w:r>
          </w:p>
        </w:tc>
      </w:tr>
      <w:tr w:rsidR="00A31D84" w14:paraId="2D4ABCC3" w14:textId="77777777" w:rsidTr="00BE33FB">
        <w:trPr>
          <w:jc w:val="center"/>
        </w:trPr>
        <w:tc>
          <w:tcPr>
            <w:tcW w:w="5094" w:type="dxa"/>
          </w:tcPr>
          <w:p w14:paraId="03749077" w14:textId="77777777" w:rsidR="00A31D84" w:rsidRDefault="00000000">
            <w:pPr>
              <w:spacing w:before="40" w:after="40"/>
            </w:pPr>
            <w:r>
              <w:rPr>
                <w:b/>
                <w:color w:val="13487F"/>
                <w:sz w:val="18"/>
              </w:rPr>
              <w:t>Confirmation that a purchase flow is out of scope</w:t>
            </w:r>
          </w:p>
        </w:tc>
        <w:tc>
          <w:tcPr>
            <w:tcW w:w="600" w:type="dxa"/>
          </w:tcPr>
          <w:p w14:paraId="29D6CA79" w14:textId="77777777" w:rsidR="00A31D84" w:rsidRDefault="00000000">
            <w:pPr>
              <w:spacing w:before="40" w:after="40"/>
            </w:pPr>
            <w:proofErr w:type="spellStart"/>
            <w:r>
              <w:rPr>
                <w:color w:val="16233B"/>
                <w:sz w:val="18"/>
              </w:rPr>
              <w:t>Wk</w:t>
            </w:r>
            <w:proofErr w:type="spellEnd"/>
            <w:r>
              <w:rPr>
                <w:color w:val="16233B"/>
                <w:sz w:val="18"/>
              </w:rPr>
              <w:t xml:space="preserve"> 1</w:t>
            </w:r>
          </w:p>
        </w:tc>
        <w:tc>
          <w:tcPr>
            <w:tcW w:w="4088" w:type="dxa"/>
          </w:tcPr>
          <w:p w14:paraId="30224200" w14:textId="77777777" w:rsidR="00A31D84" w:rsidRDefault="00000000">
            <w:pPr>
              <w:spacing w:before="40" w:after="40"/>
            </w:pPr>
            <w:r>
              <w:rPr>
                <w:color w:val="16233B"/>
                <w:sz w:val="18"/>
              </w:rPr>
              <w:t>No team currently owns one</w:t>
            </w:r>
          </w:p>
        </w:tc>
      </w:tr>
    </w:tbl>
    <w:p w14:paraId="6F7A6A3A" w14:textId="77777777" w:rsidR="00A31D84" w:rsidRDefault="00A31D84">
      <w:pPr>
        <w:spacing w:after="160"/>
      </w:pPr>
    </w:p>
    <w:sectPr w:rsidR="00A31D84" w:rsidSect="00034616">
      <w:footerReference w:type="even" r:id="rId8"/>
      <w:footerReference w:type="default" r:id="rId9"/>
      <w:footerReference w:type="first" r:id="rId10"/>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71DF88" w14:textId="77777777" w:rsidR="00872D17" w:rsidRDefault="00872D17">
      <w:pPr>
        <w:spacing w:after="0" w:line="240" w:lineRule="auto"/>
      </w:pPr>
      <w:r>
        <w:separator/>
      </w:r>
    </w:p>
  </w:endnote>
  <w:endnote w:type="continuationSeparator" w:id="0">
    <w:p w14:paraId="25821FB2" w14:textId="77777777" w:rsidR="00872D17" w:rsidRDefault="00872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Rockwell">
    <w:panose1 w:val="020606030202050204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4254AB" w14:textId="77777777" w:rsidR="00084B5A" w:rsidRDefault="00084B5A">
    <w:pPr>
      <w:pStyle w:val="Footer"/>
    </w:pPr>
    <w:r>
      <w:rPr>
        <w:noProof/>
      </w:rPr>
      <mc:AlternateContent>
        <mc:Choice Requires="wps">
          <w:drawing>
            <wp:anchor distT="0" distB="0" distL="0" distR="0" simplePos="0" relativeHeight="251659264" behindDoc="0" locked="0" layoutInCell="1" allowOverlap="1" wp14:anchorId="1ACF0D9B" wp14:editId="3091401E">
              <wp:simplePos x="635" y="635"/>
              <wp:positionH relativeFrom="page">
                <wp:align>left</wp:align>
              </wp:positionH>
              <wp:positionV relativeFrom="page">
                <wp:align>bottom</wp:align>
              </wp:positionV>
              <wp:extent cx="2085975" cy="344805"/>
              <wp:effectExtent l="0" t="0" r="9525" b="0"/>
              <wp:wrapNone/>
              <wp:docPr id="333704581"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55C19767" w14:textId="77777777"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CF0D9B"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27.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3e8EAIAABsEAAAOAAAAZHJzL2Uyb0RvYy54bWysU8Fu2zAMvQ/YPwi6L3ayZEuNOEXWIsOA&#13;&#10;oC2QDj0rshQbkERBUmJnXz9KdpKt26noRaZI+pF8fFrcdlqRo3C+AVPS8SinRBgOVWP2Jf35vP40&#13;&#10;p8QHZiqmwIiSnoSnt8uPHxatLcQEalCVcARBjC9aW9I6BFtkmee10MyPwAqDQQlOs4BXt88qx1pE&#13;&#10;1yqb5PmXrAVXWQdceI/e+z5IlwlfSsHDo5ReBKJKir2FdLp07uKZLRes2Dtm64YPbbA3dKFZY7Do&#13;&#10;BeqeBUYOrvkHSjfcgQcZRhx0BlI2XKQZcJpx/mqabc2sSLMgOd5eaPLvB8sfjlv75EjovkGHC4yE&#13;&#10;tNYXHp1xnk46Hb/YKcE4Uni60Ca6QDg6J/l8dvN1RgnH2OfpdJ7PIkx2/ds6H74L0CQaJXW4lsQW&#13;&#10;O2586FPPKbGYgXWjVFqNMn85EDN6smuL0Qrdrhv63kF1wnEc9Jv2lq8brLlhPjwxh6vFCVCu4REP&#13;&#10;qaAtKQwWJTW4X//zx3xkHKOUtCiVkhrUMiXqh8FNTGbTPI/SSjc03NnYJWN8k89i3Bz0HaAKx/gg&#13;&#10;LE9mTA7qbEoH+gXVvIrVMMQMx5ol3Z3Nu9ALF18DF6tVSkIVWRY2Zmt5hI5kRSafuxfm7EB3wEU9&#13;&#10;wFlMrHjFep8b//R2dQjIfVpJJLZnc+AbFZiWOryWKPE/7ynr+qaXvwEAAP//AwBQSwMEFAAGAAgA&#13;&#10;AAAhABdxdmvdAAAACQEAAA8AAABkcnMvZG93bnJldi54bWxMj8FOwzAQRO9I/IO1lbhRpymNqjRO&#13;&#10;VVFAXAlIcHTibRw1XofYbcPfs3CBy0ir0czOK7aT68UZx9B5UrCYJyCQGm86ahW8vT7erkGEqMno&#13;&#10;3hMq+MIA2/L6qtC58Rd6wXMVW8ElFHKtwMY45FKGxqLTYe4HJPYOfnQ68jm20oz6wuWul2mSZNLp&#13;&#10;jviD1QPeW2yO1ckpyPZPOzu8Zx+fhzQ8h9ofY+UflLqZTfsNy24DIuIU/xLww8D7oeRhtT+RCaJX&#13;&#10;wDTxV9lbpusViFrB6m4Jsizkf4LyGwAA//8DAFBLAQItABQABgAIAAAAIQC2gziS/gAAAOEBAAAT&#13;&#10;AAAAAAAAAAAAAAAAAAAAAABbQ29udGVudF9UeXBlc10ueG1sUEsBAi0AFAAGAAgAAAAhADj9If/W&#13;&#10;AAAAlAEAAAsAAAAAAAAAAAAAAAAALwEAAF9yZWxzLy5yZWxzUEsBAi0AFAAGAAgAAAAhACJbd7wQ&#13;&#10;AgAAGwQAAA4AAAAAAAAAAAAAAAAALgIAAGRycy9lMm9Eb2MueG1sUEsBAi0AFAAGAAgAAAAhABdx&#13;&#10;dmvdAAAACQEAAA8AAAAAAAAAAAAAAAAAagQAAGRycy9kb3ducmV2LnhtbFBLBQYAAAAABAAEAPMA&#13;&#10;AAB0BQAAAAA=&#13;&#10;" filled="f" stroked="f">
              <v:fill o:detectmouseclick="t"/>
              <v:textbox style="mso-fit-shape-to-text:t" inset="20pt,0,0,15pt">
                <w:txbxContent>
                  <w:p w14:paraId="1C3C2A56" w14:textId="4B30DF76"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B4DB74" w14:textId="77777777" w:rsidR="0081776B" w:rsidRDefault="00084B5A">
    <w:pPr>
      <w:pStyle w:val="Footer"/>
      <w:jc w:val="center"/>
    </w:pPr>
    <w:r>
      <w:rPr>
        <w:noProof/>
        <w:color w:val="8494AB"/>
        <w:sz w:val="16"/>
      </w:rPr>
      <mc:AlternateContent>
        <mc:Choice Requires="wps">
          <w:drawing>
            <wp:anchor distT="0" distB="0" distL="0" distR="0" simplePos="0" relativeHeight="251660288" behindDoc="0" locked="0" layoutInCell="1" allowOverlap="1" wp14:anchorId="52D3494E" wp14:editId="7F67F5D7">
              <wp:simplePos x="0" y="0"/>
              <wp:positionH relativeFrom="page">
                <wp:align>left</wp:align>
              </wp:positionH>
              <wp:positionV relativeFrom="page">
                <wp:align>bottom</wp:align>
              </wp:positionV>
              <wp:extent cx="2085975" cy="344805"/>
              <wp:effectExtent l="0" t="0" r="9525" b="0"/>
              <wp:wrapNone/>
              <wp:docPr id="29688022"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14206D75" w14:textId="77777777"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D3494E" id="_x0000_t202" coordsize="21600,21600" o:spt="202" path="m,l,21600r21600,l21600,xe">
              <v:stroke joinstyle="miter"/>
              <v:path gradientshapeok="t" o:connecttype="rect"/>
            </v:shapetype>
            <v:shape id="Text Box 3" o:spid="_x0000_s1027" type="#_x0000_t202" alt="Information Classification: General" style="position:absolute;left:0;text-align:left;margin-left:0;margin-top:0;width:164.25pt;height:27.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c/EgIAACIEAAAOAAAAZHJzL2Uyb0RvYy54bWysU99v2jAQfp+0/8Hy+0hgsNGIULFWTJNQ&#13;&#10;W4lOfTaOTSLZPss2JOyv39kJ0HZ7mvbinO8u9+P7Pi9uO63IUTjfgCnpeJRTIgyHqjH7kv58Xn+a&#13;&#10;U+IDMxVTYERJT8LT2+XHD4vWFmICNahKOIJFjC9aW9I6BFtkmee10MyPwAqDQQlOs4BXt88qx1qs&#13;&#10;rlU2yfMvWQuusg648B69932QLlN9KQUPj1J6EYgqKc4W0unSuYtntlywYu+YrRs+jMH+YQrNGoNN&#13;&#10;L6XuWWDk4Jo/SumGO/Agw4iDzkDKhou0A24zzt9ts62ZFWkXBMfbC0z+/5XlD8etfXIkdN+gQwIj&#13;&#10;IK31hUdn3KeTTscvTkowjhCeLrCJLhCOzkk+n918nVHCMfZ5Op3ns1gmu/5tnQ/fBWgSjZI6pCWh&#13;&#10;xY4bH/rUc0psZmDdKJWoUeaNA2tGT3YdMVqh23WkqV6Nv4PqhFs56An3lq8bbL1hPjwxhwzjIqja&#13;&#10;8IiHVNCWFAaLkhrcr7/5Yz4Cj1FKWlRMSQ1KmhL1wyAhk9k0z6PC0g0NdzZ2yRjf5LMYNwd9ByjG&#13;&#10;Mb4Ly5MZk4M6m9KBfkFRr2I3DDHDsWdJd2fzLvT6xUfBxWqVklBMloWN2VoeS0fMIqDP3QtzdkA9&#13;&#10;IF8PcNYUK96B3+fGP71dHQJSkJiJ+PZoDrCjEBO3w6OJSn99T1nXp738DQAA//8DAFBLAwQUAAYA&#13;&#10;CAAAACEAF3F2a90AAAAJAQAADwAAAGRycy9kb3ducmV2LnhtbEyPwU7DMBBE70j8g7WVuFGnKY2q&#13;&#10;NE5VUUBcCUhwdOJtHDVeh9htw9+zcIHLSKvRzM4rtpPrxRnH0HlSsJgnIJAabzpqFby9Pt6uQYSo&#13;&#10;yejeEyr4wgDb8vqq0LnxF3rBcxVbwSUUcq3AxjjkUobGotNh7gck9g5+dDryObbSjPrC5a6XaZJk&#13;&#10;0umO+IPVA95bbI7VySnI9k87O7xnH5+HNDyH2h9j5R+UuplN+w3LbgMi4hT/EvDDwPuh5GG1P5EJ&#13;&#10;olfANPFX2Vum6xWIWsHqbgmyLOR/gvIbAAD//wMAUEsBAi0AFAAGAAgAAAAhALaDOJL+AAAA4QEA&#13;&#10;ABMAAAAAAAAAAAAAAAAAAAAAAFtDb250ZW50X1R5cGVzXS54bWxQSwECLQAUAAYACAAAACEAOP0h&#13;&#10;/9YAAACUAQAACwAAAAAAAAAAAAAAAAAvAQAAX3JlbHMvLnJlbHNQSwECLQAUAAYACAAAACEAyvzX&#13;&#10;PxICAAAiBAAADgAAAAAAAAAAAAAAAAAuAgAAZHJzL2Uyb0RvYy54bWxQSwECLQAUAAYACAAAACEA&#13;&#10;F3F2a90AAAAJAQAADwAAAAAAAAAAAAAAAABsBAAAZHJzL2Rvd25yZXYueG1sUEsFBgAAAAAEAAQA&#13;&#10;8wAAAHYFAAAAAA==&#13;&#10;" filled="f" stroked="f">
              <v:fill o:detectmouseclick="t"/>
              <v:textbox style="mso-fit-shape-to-text:t" inset="20pt,0,0,15pt">
                <w:txbxContent>
                  <w:p w14:paraId="35C14E67" w14:textId="53E99F55"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r>
      <w:rPr>
        <w:color w:val="8494AB"/>
        <w:sz w:val="16"/>
      </w:rPr>
      <w:t xml:space="preserve">T&amp;F </w:t>
    </w:r>
    <w:proofErr w:type="gramStart"/>
    <w:r>
      <w:rPr>
        <w:color w:val="8494AB"/>
        <w:sz w:val="16"/>
      </w:rPr>
      <w:t>Reader  ·</w:t>
    </w:r>
    <w:proofErr w:type="gramEnd"/>
    <w:r>
      <w:rPr>
        <w:color w:val="8494AB"/>
        <w:sz w:val="16"/>
      </w:rPr>
      <w:t xml:space="preserve">  team1 — Discovery &amp; </w:t>
    </w:r>
    <w:proofErr w:type="gramStart"/>
    <w:r>
      <w:rPr>
        <w:color w:val="8494AB"/>
        <w:sz w:val="16"/>
      </w:rPr>
      <w:t>Selection  ·</w:t>
    </w:r>
    <w:proofErr w:type="gramEnd"/>
    <w:r>
      <w:rPr>
        <w:color w:val="8494AB"/>
        <w:sz w:val="16"/>
      </w:rPr>
      <w:t xml:space="preserve">  Delivery Plan v2.0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CB9E37" w14:textId="77777777" w:rsidR="00084B5A" w:rsidRDefault="00084B5A">
    <w:pPr>
      <w:pStyle w:val="Footer"/>
    </w:pPr>
    <w:r>
      <w:rPr>
        <w:noProof/>
      </w:rPr>
      <mc:AlternateContent>
        <mc:Choice Requires="wps">
          <w:drawing>
            <wp:anchor distT="0" distB="0" distL="0" distR="0" simplePos="0" relativeHeight="251658240" behindDoc="0" locked="0" layoutInCell="1" allowOverlap="1" wp14:anchorId="77D670F8" wp14:editId="41D19B99">
              <wp:simplePos x="635" y="635"/>
              <wp:positionH relativeFrom="page">
                <wp:align>left</wp:align>
              </wp:positionH>
              <wp:positionV relativeFrom="page">
                <wp:align>bottom</wp:align>
              </wp:positionV>
              <wp:extent cx="2085975" cy="344805"/>
              <wp:effectExtent l="0" t="0" r="9525" b="0"/>
              <wp:wrapNone/>
              <wp:docPr id="836455648"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0625CD19" w14:textId="77777777"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D670F8"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64.25pt;height:27.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iR9FAIAACIEAAAOAAAAZHJzL2Uyb0RvYy54bWysU99v2jAQfp+0/8Hy+0hgsNGIULFWTJNQ&#13;&#10;W4lOfTaOTSLZPss2JOyv39khsHV7qvrinO8u9+P7Pi9uO63IUTjfgCnpeJRTIgyHqjH7kv58Xn+a&#13;&#10;U+IDMxVTYERJT8LT2+XHD4vWFmICNahKOIJFjC9aW9I6BFtkmee10MyPwAqDQQlOs4BXt88qx1qs&#13;&#10;rlU2yfMvWQuusg648B69932QLlN9KQUPj1J6EYgqKc4W0unSuYtntlywYu+YrRt+HoO9YQrNGoNN&#13;&#10;L6XuWWDk4Jp/SumGO/Agw4iDzkDKhou0A24zzl9ts62ZFWkXBMfbC0z+/cryh+PWPjkSum/QIYER&#13;&#10;kNb6wqMz7tNJp+MXJyUYRwhPF9hEFwhH5ySfz26+zijhGPs8nc7zWSyTXf+2zofvAjSJRkkd0pLQ&#13;&#10;YseND33qkBKbGVg3SiVqlPnLgTWjJ7uOGK3Q7TrSVDjJMP4OqhNu5aAn3Fu+brD1hvnwxBwyjIug&#13;&#10;asMjHlJBW1I4W5TU4H79zx/zEXiMUtKiYkpqUNKUqB8GCZnMpnkeFZZuaLjB2CVjfJPPYtwc9B2g&#13;&#10;GMf4LixPZkwOajClA/2Col7FbhhihmPPku4G8y70+sVHwcVqlZJQTJaFjdlaHktHzCKgz90Lc/aM&#13;&#10;ekC+HmDQFCtegd/nxj+9XR0CUpCYifj2aJ5hRyEmbs+PJir9z3vKuj7t5W8AAAD//wMAUEsDBBQA&#13;&#10;BgAIAAAAIQAXcXZr3QAAAAkBAAAPAAAAZHJzL2Rvd25yZXYueG1sTI/BTsMwEETvSPyDtZW4Uacp&#13;&#10;jao0TlVRQFwJSHB04m0cNV6H2G3D37NwgctIq9HMziu2k+vFGcfQeVKwmCcgkBpvOmoVvL0+3q5B&#13;&#10;hKjJ6N4TKvjCANvy+qrQufEXesFzFVvBJRRyrcDGOORShsai02HuByT2Dn50OvI5ttKM+sLlrpdp&#13;&#10;kmTS6Y74g9UD3ltsjtXJKcj2Tzs7vGcfn4c0PIfaH2PlH5S6mU37DctuAyLiFP8S8MPA+6HkYbU/&#13;&#10;kQmiV8A08VfZW6brFYhawepuCbIs5H+C8hsAAP//AwBQSwECLQAUAAYACAAAACEAtoM4kv4AAADh&#13;&#10;AQAAEwAAAAAAAAAAAAAAAAAAAAAAW0NvbnRlbnRfVHlwZXNdLnhtbFBLAQItABQABgAIAAAAIQA4&#13;&#10;/SH/1gAAAJQBAAALAAAAAAAAAAAAAAAAAC8BAABfcmVscy8ucmVsc1BLAQItABQABgAIAAAAIQCb&#13;&#10;aiR9FAIAACIEAAAOAAAAAAAAAAAAAAAAAC4CAABkcnMvZTJvRG9jLnhtbFBLAQItABQABgAIAAAA&#13;&#10;IQAXcXZr3QAAAAkBAAAPAAAAAAAAAAAAAAAAAG4EAABkcnMvZG93bnJldi54bWxQSwUGAAAAAAQA&#13;&#10;BADzAAAAeAUAAAAA&#13;&#10;" filled="f" stroked="f">
              <v:fill o:detectmouseclick="t"/>
              <v:textbox style="mso-fit-shape-to-text:t" inset="20pt,0,0,15pt">
                <w:txbxContent>
                  <w:p w14:paraId="02E6FAE2" w14:textId="72336D17" w:rsidR="00084B5A" w:rsidRPr="00084B5A" w:rsidRDefault="00084B5A" w:rsidP="00084B5A">
                    <w:pPr>
                      <w:spacing w:after="0"/>
                      <w:rPr>
                        <w:rFonts w:ascii="Rockwell" w:eastAsia="Rockwell" w:hAnsi="Rockwell" w:cs="Rockwell"/>
                        <w:noProof/>
                        <w:color w:val="0078D7"/>
                        <w:sz w:val="18"/>
                        <w:szCs w:val="18"/>
                      </w:rPr>
                    </w:pPr>
                    <w:r w:rsidRPr="00084B5A">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DDE132" w14:textId="77777777" w:rsidR="00872D17" w:rsidRDefault="00872D17">
      <w:pPr>
        <w:spacing w:after="0" w:line="240" w:lineRule="auto"/>
      </w:pPr>
      <w:r>
        <w:separator/>
      </w:r>
    </w:p>
  </w:footnote>
  <w:footnote w:type="continuationSeparator" w:id="0">
    <w:p w14:paraId="02C91E9E" w14:textId="77777777" w:rsidR="00872D17" w:rsidRDefault="00872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649699">
    <w:abstractNumId w:val="8"/>
  </w:num>
  <w:num w:numId="2" w16cid:durableId="580799905">
    <w:abstractNumId w:val="6"/>
  </w:num>
  <w:num w:numId="3" w16cid:durableId="1886674370">
    <w:abstractNumId w:val="5"/>
  </w:num>
  <w:num w:numId="4" w16cid:durableId="1721053375">
    <w:abstractNumId w:val="4"/>
  </w:num>
  <w:num w:numId="5" w16cid:durableId="839806407">
    <w:abstractNumId w:val="7"/>
  </w:num>
  <w:num w:numId="6" w16cid:durableId="2130200985">
    <w:abstractNumId w:val="3"/>
  </w:num>
  <w:num w:numId="7" w16cid:durableId="1961298037">
    <w:abstractNumId w:val="2"/>
  </w:num>
  <w:num w:numId="8" w16cid:durableId="2099849">
    <w:abstractNumId w:val="1"/>
  </w:num>
  <w:num w:numId="9" w16cid:durableId="4218051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B5A"/>
    <w:rsid w:val="0015074B"/>
    <w:rsid w:val="0029639D"/>
    <w:rsid w:val="00326F90"/>
    <w:rsid w:val="004E0359"/>
    <w:rsid w:val="0081776B"/>
    <w:rsid w:val="00872D17"/>
    <w:rsid w:val="00A31D84"/>
    <w:rsid w:val="00AA1D8D"/>
    <w:rsid w:val="00B41E05"/>
    <w:rsid w:val="00B47730"/>
    <w:rsid w:val="00BE33FB"/>
    <w:rsid w:val="00C31C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EC60F"/>
  <w14:defaultImageDpi w14:val="300"/>
  <w15:docId w15:val="{CCF9FE69-29A0-8A49-BCDE-E462BAC4A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C3A5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1745</Words>
  <Characters>9951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Khetan, Akriti</cp:lastModifiedBy>
  <cp:revision>3</cp:revision>
  <dcterms:created xsi:type="dcterms:W3CDTF">2026-08-05T10:46:00Z</dcterms:created>
  <dcterms:modified xsi:type="dcterms:W3CDTF">2026-08-07T10:53:00Z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31db4ce0,13e3ed85,1c500d6</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2026-08-05T10:46:35Z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c1b5d2e1-8069-4843-a9f9-6a8f85feeeff</vt:lpwstr>
  </property>
  <property fmtid="{D5CDD505-2E9C-101B-9397-08002B2CF9AE}" pid="11" name="MSIP_Label_2bbab825-a111-45e4-86a1-18cee0005896_ContentBits">
    <vt:lpwstr>2</vt:lpwstr>
  </property>
  <property fmtid="{D5CDD505-2E9C-101B-9397-08002B2CF9AE}" pid="12" name="MSIP_Label_2bbab825-a111-45e4-86a1-18cee0005896_Tag">
    <vt:lpwstr>50, 3, 0, 1</vt:lpwstr>
  </property>
</Properties>
</file>