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Experimento de Calcium Orange con las interneuronas FS expresando ChR2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Archivos de Transitorios (dF/F) T-nombre de video.csv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Header:***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Después tiene una lista de valores de fluoresencia en formato frames x cells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hay 77 células, hay un archivo para cada video y contiene todas las células aunque no estén activas en todos los videos (incluso algunas que puede que no tengan transitorios significativos pero esas las elimino después).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de videos: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el experimento en presencia de NMDA 1.7 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[N01 N02]-Control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N03-5 trenes de 10 pulsos de estimulación con luz a 40Hz en frames: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[300 313 323 336 349 362]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[N04 N05 N06]- Videos post-estímulo, en presencia de NMDA.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[N07bicu]-Video con bicuculina a concentración saturante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[N08bicustim]- Repetición del protocolo de estimulación en frames: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[314 325 358 350 364]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[N09]-post stim en presencia de bicuculina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Archivo de coordenadas: todas (XY).csv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contiene las coordenadas de las células en la ventana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 *** despues columna número de célula, coordenadas X, coordenadas Y y “color”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