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pacing w:val="200"/>
          <w:sz w:val="22"/>
          <w:szCs w:val="22"/>
        </w:rPr>
        <w:t xml:space="preserve">PRODUCT REQUIREMENTS DOCUMENT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Deep Notes</w:t>
      </w:r>
    </w:p>
    <w:p>
      <w:pPr>
        <w:spacing w:after="60"/>
        <w:jc w:val="center"/>
      </w:pPr>
      <w:r>
        <w:rPr>
          <w:rFonts w:ascii="Arial" w:cs="Arial" w:eastAsia="Arial" w:hAnsi="Arial"/>
          <w:color w:val="2D2D44"/>
          <w:sz w:val="36"/>
          <w:szCs w:val="36"/>
        </w:rPr>
        <w:t xml:space="preserve">Markdown Renderer Enhancement</w:t>
      </w:r>
    </w:p>
    <w:p>
      <w:pPr>
        <w:spacing w:after="80"/>
      </w:pPr>
    </w:p>
    <w:p>
      <w:pPr>
        <w:spacing w:after="80"/>
      </w:pPr>
    </w:p>
    <w:p>
      <w:pPr>
        <w:pBdr>
          <w:top w:val="single" w:color="1A1A2E" w:sz="6" w:space="8"/>
        </w:pBdr>
        <w:spacing w:after="0"/>
        <w:jc w:val="center"/>
      </w:pPr>
    </w:p>
    <w:p>
      <w:pPr>
        <w:spacing w:after="80"/>
      </w:pP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1.0  |  March 2026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Status: Draft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Author: Product Team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Problem Statement</w:t>
      </w:r>
    </w:p>
    <w:p>
      <w:pPr>
        <w:spacing w:after="120"/>
      </w:pPr>
      <w:r>
        <w:t xml:space="preserve">Deep Notes is a local-first notes, tasks, and knowledge graph app targeting macOS and iOS. Its MarkdownRenderer currently supports only basic formatting (bold, italic, code, lists, links, and wiki-links), covering roughly 40–50% of the markdown syntax that users of comparable apps (Obsidian, NotePlan, Bear) expect as a baseline.</w:t>
      </w:r>
    </w:p>
    <w:p>
      <w:pPr>
        <w:spacing w:after="120"/>
      </w:pPr>
      <w:r>
        <w:t xml:space="preserve">This gap creates three problems: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User friction: </w:t>
      </w:r>
      <w:r>
        <w:t xml:space="preserve">Users writing standard markdown—headings with distinct sizes, task checkboxes, blockquotes, tables, images—see their content rendered incorrectly or not at all. This undermines trust in the editor.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Competitive disadvantage: </w:t>
      </w:r>
      <w:r>
        <w:t xml:space="preserve">Every direct competitor supports these features. Users evaluating Deep Notes against Obsidian, NotePlan, or Bear will immediately notice the gaps during first use.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Internal inconsistency: </w:t>
      </w:r>
      <w:r>
        <w:t xml:space="preserve">Deep Notes already has a rich Tasks system (Kanban board, recurring tasks, calendar sync), but the markdown renderer cannot render a simple checkbox. The app’s own features outpace its rendering layer.</w:t>
      </w:r>
    </w:p>
    <w:p>
      <w:pPr>
        <w:spacing w:after="80"/>
      </w:pPr>
    </w:p>
    <w:p>
      <w:pPr>
        <w:spacing w:after="120"/>
      </w:pPr>
      <w:r>
        <w:t xml:space="preserve">Without addressing this, Deep Notes will struggle to retain users past initial trial, particularly those migrating from established markdown-based tools.</w:t>
      </w:r>
    </w:p>
    <w:p>
      <w:pPr>
        <w:pStyle w:val="Heading1"/>
      </w:pPr>
      <w:r>
        <w:t xml:space="preserve">2. Goals</w:t>
      </w:r>
    </w:p>
    <w:p>
      <w:pPr>
        <w:pStyle w:val="Heading3"/>
      </w:pPr>
      <w:r>
        <w:t xml:space="preserve">User Goals</w:t>
      </w:r>
    </w:p>
    <w:p>
      <w:pPr>
        <w:pStyle w:val="ListParagraph"/>
        <w:numPr>
          <w:ilvl w:val="0"/>
          <w:numId w:val="3"/>
        </w:numPr>
      </w:pPr>
      <w:r>
        <w:t xml:space="preserve">Users can write standard markdown and see it rendered correctly—headings are visually distinct, checkboxes are interactive, blockquotes are styled, and tables are readable.</w:t>
      </w:r>
    </w:p>
    <w:p>
      <w:pPr>
        <w:pStyle w:val="ListParagraph"/>
        <w:numPr>
          <w:ilvl w:val="0"/>
          <w:numId w:val="3"/>
        </w:numPr>
      </w:pPr>
      <w:r>
        <w:t xml:space="preserve">Users migrating from Obsidian, NotePlan, or Bear can import their existing notes without visible rendering regressions.</w:t>
      </w:r>
    </w:p>
    <w:p>
      <w:pPr>
        <w:pStyle w:val="ListParagraph"/>
        <w:numPr>
          <w:ilvl w:val="0"/>
          <w:numId w:val="3"/>
        </w:numPr>
      </w:pPr>
      <w:r>
        <w:t xml:space="preserve">The rendering experience feels native and fast—no perceptible delay when opening notes with complex markdown.</w:t>
      </w:r>
    </w:p>
    <w:p>
      <w:pPr>
        <w:spacing w:after="80"/>
      </w:pPr>
    </w:p>
    <w:p>
      <w:pPr>
        <w:pStyle w:val="Heading3"/>
      </w:pPr>
      <w:r>
        <w:t xml:space="preserve">Business Goals</w:t>
      </w:r>
    </w:p>
    <w:p>
      <w:pPr>
        <w:pStyle w:val="ListParagraph"/>
        <w:numPr>
          <w:ilvl w:val="0"/>
          <w:numId w:val="4"/>
        </w:numPr>
      </w:pPr>
      <w:r>
        <w:t xml:space="preserve">Reach 90%+ feature parity with competitor renderers at the markdown syntax level, closing the primary barrier to adoption.</w:t>
      </w:r>
    </w:p>
    <w:p>
      <w:pPr>
        <w:pStyle w:val="ListParagraph"/>
        <w:numPr>
          <w:ilvl w:val="0"/>
          <w:numId w:val="4"/>
        </w:numPr>
      </w:pPr>
      <w:r>
        <w:t xml:space="preserve">Reduce “markdown rendering”-related issues to fewer than 5% of beta feedback reports within 30 days of v1 launch.</w:t>
      </w:r>
    </w:p>
    <w:p>
      <w:pPr>
        <w:pStyle w:val="ListParagraph"/>
        <w:numPr>
          <w:ilvl w:val="0"/>
          <w:numId w:val="4"/>
        </w:numPr>
      </w:pPr>
      <w:r>
        <w:t xml:space="preserve">Establish an extensible rendering architecture that supports v2 additions (syntax highlighting, callouts, embeds) without requiring rewrites.</w:t>
      </w:r>
    </w:p>
    <w:p>
      <w:pPr>
        <w:pStyle w:val="Heading1"/>
      </w:pPr>
      <w:r>
        <w:t xml:space="preserve">3. Non-Goals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WYSIWYG editing toolbar: </w:t>
      </w:r>
      <w:r>
        <w:t xml:space="preserve">This PRD covers rendering fidelity, not a toolbar for applying formatting. Users will continue to write raw markdown.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Markdown export/conversion: </w:t>
      </w:r>
      <w:r>
        <w:t xml:space="preserve">Converting notes to PDF, HTML, or other formats is a separate initiative.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Collaborative editing: </w:t>
      </w:r>
      <w:r>
        <w:t xml:space="preserve">Real-time co-editing, @mentions, and presence indicators are out of scope. Deep Notes is local-first.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Plugin/extension API: </w:t>
      </w:r>
      <w:r>
        <w:t xml:space="preserve">Custom markdown extensions via user plugins (Obsidian-style) are not in scope for v1 or v2.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Full CommonMark conformance testing: </w:t>
      </w:r>
      <w:r>
        <w:t xml:space="preserve">We aim for practical correctness against real-world notes, not 100% spec compliance edge cases.</w:t>
      </w:r>
    </w:p>
    <w:p>
      <w:pPr>
        <w:pStyle w:val="Heading1"/>
      </w:pPr>
      <w:r>
        <w:t xml:space="preserve">4. User Stories</w:t>
      </w:r>
    </w:p>
    <w:p>
      <w:pPr>
        <w:pStyle w:val="Heading2"/>
      </w:pPr>
      <w:r>
        <w:t xml:space="preserve">v1 Stories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As a note-taker</w:t>
      </w:r>
      <w:r>
        <w:t xml:space="preserve">, I want headings to render at different sizes so that I can scan the structure of long notes visually.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As a task-oriented user</w:t>
      </w:r>
      <w:r>
        <w:t xml:space="preserve">, I want to type “- [ ] buy milk” and see a rendered checkbox so that I can manage tasks inline without switching to the Tasks tab.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As a task-oriented user</w:t>
      </w:r>
      <w:r>
        <w:t xml:space="preserve">, I want to tap/click a rendered checkbox to toggle it so that I can complete tasks without editing raw markdown.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As a writer</w:t>
      </w:r>
      <w:r>
        <w:t xml:space="preserve">, I want strikethrough (~~text~~) to render with a line through the text so that I can indicate edits and completed items inline.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As a researcher</w:t>
      </w:r>
      <w:r>
        <w:t xml:space="preserve">, I want blockquotes (&gt; text) to render with a visual indent and border so that I can distinguish quoted material from my own notes.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As a student</w:t>
      </w:r>
      <w:r>
        <w:t xml:space="preserve">, I want highlights (==text==) to render with a background color so that I can mark key passages for review.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As a user migrating from Bear</w:t>
      </w:r>
      <w:r>
        <w:t xml:space="preserve">, I want images in my notes to render inline so that I can see screenshots, diagrams, and photos without opening them externally.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As a project manager</w:t>
      </w:r>
      <w:r>
        <w:t xml:space="preserve">, I want markdown tables to render as formatted grids so that I can view comparison data and meeting notes without copy-pasting to a spreadsheet.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As a developer</w:t>
      </w:r>
      <w:r>
        <w:t xml:space="preserve">, I want code blocks to show language-aware syntax highlighting so that I can read code snippets in my notes with proper coloring.</w:t>
      </w:r>
    </w:p>
    <w:p>
      <w:pPr>
        <w:spacing w:after="80"/>
      </w:pPr>
    </w:p>
    <w:p>
      <w:pPr>
        <w:pStyle w:val="Heading2"/>
      </w:pPr>
      <w:r>
        <w:t xml:space="preserve">v2 Stories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As an Obsidian migrant</w:t>
      </w:r>
      <w:r>
        <w:t xml:space="preserve">, I want callout blocks (&gt; [!note]) to render with distinct icons and colors so that my imported notes retain their visual structure.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As a power user</w:t>
      </w:r>
      <w:r>
        <w:t xml:space="preserve">, I want to assign priority markers (!, !!, !!!) to tasks in markdown so that urgent items stand out visually.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As a knowledge worker</w:t>
      </w:r>
      <w:r>
        <w:t xml:space="preserve">, I want embedded note transclusion (![[note]]) so that I can compose documents from reusable note fragments.</w:t>
      </w:r>
    </w:p>
    <w:p>
      <w:pPr>
        <w:pStyle w:val="Heading1"/>
      </w:pPr>
      <w:r>
        <w:t xml:space="preserve">5. Requirements</w:t>
      </w:r>
    </w:p>
    <w:p>
      <w:pPr>
        <w:pStyle w:val="Heading2"/>
      </w:pPr>
      <w:r>
        <w:t xml:space="preserve">v1 Scope</w:t>
      </w:r>
    </w:p>
    <w:p>
      <w:pPr>
        <w:spacing w:after="120"/>
      </w:pPr>
      <w:r>
        <w:t xml:space="preserve">v1 targets the features necessary to achieve competitive parity with NotePlan, Bear, and Obsidian at the markdown rendering layer. All features below apply to the MarkdownRenderer (AttributedStringVisitor) in the NotesUI module.</w:t>
      </w:r>
    </w:p>
    <w:p>
      <w:pPr>
        <w:spacing w:after="80"/>
      </w:pPr>
    </w:p>
    <w:p>
      <w:pPr>
        <w:pStyle w:val="Heading3"/>
      </w:pPr>
      <w:r>
        <w:t xml:space="preserve">Must-Have (P0)</w:t>
      </w:r>
    </w:p>
    <w:p>
      <w:pPr>
        <w:spacing w:after="120"/>
      </w:pPr>
      <w:r>
        <w:t xml:space="preserve">The renderer cannot ship without these. They represent the minimum viable upgrade.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3180"/>
        <w:gridCol w:w="3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Heading size differentiation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 # through ###### at distinct font sizes. Minimum 3 visually distinct levels (h1, h2, h3+).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h1 renders at 28pt bold; h2 at 22pt bold; h3 at 18pt bold; h4–h6 at 16pt bold. Each level is visually distinguishable.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 checkboxes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 - [ ] as unchecked and - [x] as checked checkboxes. Integrate with the existing task model for status sync.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Unchecked boxes render with empty square glyph; checked boxes show a filled check. Tapping/clicking a checkbox toggles its state and updates the note source.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Strikethrough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 ~~text~~ with a horizontal line through the text.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Strikethrough text renders with .strikethrough attribute set. Combines correctly with bold and italic.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Blockquotes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 &gt; text with a visual left border and indented styling. Support nested blockquotes.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Blockquoted text renders with a colored left border (4pt, accent color), left indent of 20pt, and slightly muted text color. Nested &gt; &gt; text doubles the indent.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Highlight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 ==text== with a visible background color.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Highlighted text renders with a yellow (#FFF3B0) background. Combines with bold, italic, and strikethrough without visual artifacts.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3"/>
      </w:pPr>
      <w:r>
        <w:t xml:space="preserve">Should-Have (P1)</w:t>
      </w:r>
    </w:p>
    <w:p>
      <w:pPr>
        <w:spacing w:after="120"/>
      </w:pPr>
      <w:r>
        <w:t xml:space="preserve">Important for competitive credibility but the core experience works without them. Expected as fast follows within 2–4 weeks of v1 launch.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3180"/>
        <w:gridCol w:w="3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Image rendering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 ![alt](url) as inline images. Support local file paths and https URLs. Display alt text as fallback if image fails to load.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Images render inline at natural size, constrained to note width. Broken images show alt text in a placeholder frame. Local and remote URLs both work.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Tables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 pipe-delimited markdown tables as formatted grids with header row styling and column alignment.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Tables render with visible borders, bold header row, and left/center/right alignment per :--- syntax. Tables scroll horizontally if wider than the note view.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Syntax highlighting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 fenced code blocks (```language) with language-aware coloring. Support top 15 languages (Swift, Python, JS, TS, Go, Rust, Java, C, C++, Ruby, Kotlin, SQL, Bash, JSON, YAML).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blocks with a language tag render with keyword, string, comment, and type coloring. Blocks without a language tag render as plain monospace. Colors adapt to light/dark mode.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3"/>
      </w:pPr>
      <w:r>
        <w:t xml:space="preserve">Could-Have (P2)</w:t>
      </w:r>
    </w:p>
    <w:p>
      <w:pPr>
        <w:spacing w:after="120"/>
      </w:pPr>
      <w:r>
        <w:t xml:space="preserve">Desirable if time permits during v1. Will not delay delivery if deferred.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3180"/>
        <w:gridCol w:w="3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Callout blocks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 &gt; [!type] syntax (Obsidian-style) with distinct icons and background colors for note, warning, tip, important, etc.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Callout blocks render with a colored left border, type icon, and tinted background. At least 5 types supported: note, tip, warning, important, abstract.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 priority markers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 !, !!, !!! after task checkboxes as visual priority indicators (low, medium, high).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 markers render with distinct colors (yellow, orange, red). Priority level is surfaced to the task model for filtering.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GFM autolinks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Automatically detect and render bare URLs (https://...) and email addresses as clickable links without requiring [text](url) syntax.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URLs matching https?:// and standard email patterns render as tappable links with link styling. No false positives on partial URLs.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2"/>
      </w:pPr>
      <w:r>
        <w:t xml:space="preserve">v2 Scope (Future)</w:t>
      </w:r>
    </w:p>
    <w:p>
      <w:pPr>
        <w:spacing w:after="120"/>
      </w:pPr>
      <w:r>
        <w:t xml:space="preserve">Explicitly out of scope for v1 but the renderer architecture should be designed to accommodate these without rewrites.</w:t>
      </w:r>
    </w:p>
    <w:p>
      <w:pPr>
        <w:spacing w:after="80"/>
      </w:pPr>
    </w:p>
    <w:p>
      <w:pPr>
        <w:pStyle w:val="Heading3"/>
      </w:pPr>
      <w:r>
        <w:t xml:space="preserve">Won’t-Have This 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3180"/>
        <w:gridCol w:w="3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 embeds / transclusion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 ![[note-title]] as an inline preview of the referenced note’s content. Supports the existing wiki-link and graph infrastructure.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Embedded notes render as a bordered card showing the first ~5 lines of the referenced note. Clicking opens the full note. Circular references show a warning instead of infinite recursion.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Mermaid diagrams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 ```mermaid fenced blocks as visual diagrams (flowcharts, sequence diagrams, ERDs).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Mermaid blocks render as SVG diagrams inline. Syntax errors show the raw code block with an error indicator. Adapts to light/dark mode.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LaTeX / math rendering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 $inline$ and $$block$$ math expressions using LaTeX syntax.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Inline math renders inline with surrounding text. Block math renders centered on its own line. Common LaTeX symbols and equations render correctly.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@Mentions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 @name tokens with distinct styling. Only relevant if Deep Notes adds collaboration features.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Mention tokens render with a pill-style background and distinct color. Tapping a mention surfaces a contextual action (TBD based on collaboration design).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Custom markdown extensions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User-definable rendering rules via regex-based syntax extensions (similar to NotePlan’s theme system).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can define custom patterns in a config file that map to specific visual styles. At least 5 concurrent custom rules supported without performance regression.</w:t>
            </w:r>
          </w:p>
        </w:tc>
      </w:tr>
    </w:tbl>
    <w:p>
      <w:pPr>
        <w:pStyle w:val="Heading1"/>
      </w:pPr>
      <w:r>
        <w:t xml:space="preserve">6. Success Metrics</w:t>
      </w:r>
    </w:p>
    <w:p>
      <w:pPr>
        <w:pStyle w:val="Heading3"/>
      </w:pPr>
      <w:r>
        <w:t xml:space="preserve">Leading Indicators (1–2 weeks post-launch)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Rendering accuracy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visual regressions on 50-note test corpus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snapshot tests comparing rendered output against golden files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 performance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p95 note-open time stays below 40ms for notes under 10KB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gate in CI pipeline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Checkbox interaction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&gt;30% of users with task-containing notes use inline checkboxes within 7 days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 event on checkbox toggle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Rendering-related bug reports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&lt;5% of total beta feedback mentions rendering issues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Tagged feedback categorization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Lagging Indicators (4–8 weeks post-launch)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 import success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&gt;95% of imported Obsidian/Bear notes render without visible issues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QA audit on 200 imported 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7-day retention lift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5%+ improvement in 7-day retention vs. pre-v1 baseline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Cohort analysis pre/post v1 launch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parity perception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&gt;80% of surveyed beta users rate rendering as "good" or "excellent"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In-app survey at day 14</w:t>
            </w:r>
          </w:p>
        </w:tc>
      </w:tr>
    </w:tbl>
    <w:p>
      <w:pPr>
        <w:pStyle w:val="Heading1"/>
      </w:pPr>
      <w:r>
        <w:t xml:space="preserve">7. Open Questions</w:t>
      </w:r>
    </w:p>
    <w:p>
      <w:pPr>
        <w:pStyle w:val="Heading3"/>
      </w:pPr>
      <w:r>
        <w:t xml:space="preserve">Blocking (must resolve before implementation)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checkbox toggle update the raw markdown source in-place, or go through the task model layer?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should tables render on narrow iPhone screens? Horizontal scroll, column truncation, or simplified view?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syntax highlighting, use a native Swift library (Splash, Highlightr) or AttributedString-based regex approach?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Non-Blocking (can resolve during implementation)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==highlight== use system accent color or a fixed yellow across themes?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specific callout types (&gt; [!type]) should we support in v1 P2? Follow Obsidian’s 12 types or a curated subset?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image rendering support pasting images from clipboard into notes, or only markdown image syntax?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</w:tr>
    </w:tbl>
    <w:p>
      <w:pPr>
        <w:pStyle w:val="Heading1"/>
      </w:pPr>
      <w:r>
        <w:t xml:space="preserve">8. Timeline Considerations</w:t>
      </w:r>
    </w:p>
    <w:p>
      <w:pPr>
        <w:pStyle w:val="Heading3"/>
      </w:pPr>
      <w:r>
        <w:t xml:space="preserve">Suggested Phasing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Effort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Sprint 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Heading sizes, strikethrough, blockquotes, highlight (P0 items with no external dependencies)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3–5 engineering days. All changes confined to AttributedStringVisitor.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None. Pure renderer changes.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Sprint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checkboxes with toggle interaction and task model integration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5–7 engineering days. Requires view-layer interaction handling and model sync.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 on checkbox-to-model sync approach (blocking question #1).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Sprint 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rendering and table support (P1 items)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7–10 engineering days. Tables are the highest-effort single feature.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decision on mobile table layout (blocking question #2).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Sprint 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Syntax highlighting for code blocks (P1), plus P2 items if time allows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5–7 engineering days depending on library choice.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Library selection for syntax highlighting (blocking question #3).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Hard Constraints</w:t>
      </w:r>
    </w:p>
    <w:p>
      <w:pPr>
        <w:pStyle w:val="ListParagraph"/>
        <w:numPr>
          <w:ilvl w:val="0"/>
          <w:numId w:val="2"/>
        </w:numPr>
      </w:pPr>
      <w:r>
        <w:t xml:space="preserve">No hard external deadlines. Timeline is internally driven.</w:t>
      </w:r>
    </w:p>
    <w:p>
      <w:pPr>
        <w:pStyle w:val="ListParagraph"/>
        <w:numPr>
          <w:ilvl w:val="0"/>
          <w:numId w:val="2"/>
        </w:numPr>
      </w:pPr>
      <w:r>
        <w:t xml:space="preserve">v1 P0 must ship before any public beta expansion to avoid first-impression damage.</w:t>
      </w:r>
    </w:p>
    <w:p>
      <w:pPr>
        <w:pStyle w:val="ListParagraph"/>
        <w:numPr>
          <w:ilvl w:val="0"/>
          <w:numId w:val="2"/>
        </w:numPr>
      </w:pPr>
      <w:r>
        <w:t xml:space="preserve">Renderer performance gate (p95 &lt; 40ms) must not regress at any phase. CI enforcement required.</w:t>
      </w:r>
    </w:p>
    <w:p>
      <w:pPr>
        <w:spacing w:after="80"/>
      </w:pPr>
    </w:p>
    <w:p>
      <w:pPr>
        <w:spacing w:after="80"/>
      </w:pPr>
    </w:p>
    <w:p>
      <w:pPr>
        <w:pBdr>
          <w:top w:val="single" w:color="CCCCCC" w:sz="4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8"/>
        <w:szCs w:val="18"/>
      </w:rPr>
      <w:t xml:space="preserve">Deep Notes — Markdown Renderer PRD</w:t>
    </w:r>
    <w:r>
      <w:rPr>
        <w:rFonts w:ascii="Arial" w:cs="Arial" w:eastAsia="Arial" w:hAnsi="Arial"/>
        <w:color w:val="999999"/>
        <w:sz w:val="18"/>
        <w:szCs w:val="18"/>
      </w:rPr>
      <w:t xml:space="preserve">	Draft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D2D4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D3D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2026-03-04T00:33:00.108Z</dcterms:created>
  <dcterms:modified xsi:type="dcterms:W3CDTF">2026-03-04T00:33:00.108Z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