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PAYMENTS FRANCHISE INDEX</w:t>
      </w:r>
    </w:p>
    <w:p>
      <w:pPr>
        <w:spacing w:after="60"/>
      </w:pPr>
      <w:r>
        <w:rPr>
          <w:b/>
          <w:bCs/>
          <w:sz w:val="22"/>
          <w:szCs w:val="22"/>
        </w:rPr>
        <w:t>Assessment Experience &amp; Output</w:t>
      </w:r>
    </w:p>
    <w:p>
      <w:pPr>
        <w:spacing w:after="240"/>
      </w:pPr>
      <w:r>
        <w:t>Working Record v1.11.2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Control</w:t>
            </w:r>
          </w:p>
        </w:tc>
        <w:tc>
          <w:tcPr>
            <w:tcW w:type="dxa" w:w="6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Document role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Implementation-design working authority for PFI Assessment Experience &amp; Output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Methodological authority</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PFI Strategy Review Working Record v28</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Methodology status</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Frozen unless implementation exposes a material methodological conflict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 approach</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 / Replace / Remove / Add</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Coverage in this version</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Gate 1–4 and I0–I6 implementation are complete. The integrated assessment, scoring, Results experience, and Commercial Bridge have executable automated and runtime verification. Release authorization remains separate and open.</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Next authorized work</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Targeted independent I6 review; item-specific preregistration and participant execution for E-01–E-10; remaining assistive-technology/browser verification; and closure of production infrastructure and policy dependencies. Public release is not authorized.</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Date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21 August 2026</w:t>
            </w:r>
          </w:p>
        </w:tc>
      </w:tr>
    </w:tbl>
    <w:p>
      <w:pPr>
        <w:spacing w:after="200"/>
      </w:pPr>
    </w:p>
    <w:p>
      <w:pPr>
        <w:spacing w:after="160"/>
      </w:pPr>
      <w:r>
        <w:rPr>
          <w:b/>
          <w:bCs/>
        </w:rPr>
        <w:t xml:space="preserve">Control principle: </w:t>
      </w:r>
      <w:r>
        <w:t>This record captures implementation decisions derived from v28. It does not restate or supersede the locked methodology. Where an implementation question is already governed by v28, this record treats the rule as read-only.</w:t>
      </w:r>
    </w:p>
    <w:p>
      <w:pPr>
        <w:pStyle w:val="Heading1"/>
        <w:spacing w:after="160" w:before="320"/>
      </w:pPr>
      <w:r>
        <w:t>1. Purpose and Authority</w:t>
      </w:r>
    </w:p>
    <w:p>
      <w:pPr>
        <w:spacing w:after="160"/>
      </w:pPr>
      <w:r>
        <w:t>This Working Record governs the Assessment Experience &amp; Output phase of the Payments Franchise Index (PFI). The existing PFI assessment UX and output are being evaluated against the locked methodology using a retain / modify / replace approach. Preservation is not assumed, and redesign is not assumed.</w:t>
      </w:r>
    </w:p>
    <w:p>
      <w:pPr>
        <w:spacing w:after="160"/>
      </w:pPr>
      <w:r>
        <w:t>PFI Strategy Review Working Record v28 remains the authoritative methodological input. This document records implementation dispositions, interaction requirements, output-design decisions, dependencies, unresolved items, and implementation findings.</w:t>
      </w:r>
    </w:p>
    <w:p>
      <w:pPr/>
      <w:r>
        <w:rPr>
          <w:b/>
        </w:rPr>
        <w:t xml:space="preserve">v1.8.1 corrective note: </w:t>
      </w:r>
      <w:r>
        <w:t>This release reconciles Gate 3's 4.0/2.0 raw-average cut-points with v28 Section 60's formal 0-100 Dimension Score terminology (80/40 respectively). No threshold, scoring rule, state architecture, or gate decision is changed.</w:t>
      </w:r>
    </w:p>
    <w:p>
      <w:r>
        <w:t>v1.8.2 corrective note: Gate 3E-3 independent review identified that the locked Composite-to-output bridge overstated comparable seven-dimension evidence in Adjusted Composite and Insufficient Basis states. This release makes the bridge state-specific while preserving the existing Result-to-output hierarchy, attention-direction boundary, Section 61 state logic, and all scoring methodology. No threshold, score, weight, qualification rule, or layer responsibility changes.</w:t>
      </w:r>
    </w:p>
    <w:p>
      <w:r>
        <w:t>v1.9 closure note: Gate 3E-3 output drafting and prototype validation is CLOSED. The six-layer respondent-facing copy system was drafted, independently challenged, tested through achievable synthetic fixtures and an end-to-end mixed profile, refined through Executive Review, and regression-checked to closure. No scoring methodology, weighting, Section 60/61 logic, qualification threshold, signal rule, or Gate 3E-2 layer architecture changed. Gate 3F is authorized next for the remaining commercial-bridge integration work already carried forward from Gate 3D.</w:t>
      </w:r>
    </w:p>
    <w:p>
      <w:pPr/>
      <w:r>
        <w:t>v1.10 closure note: Gate 3F commercial-bridge integration is CLOSED and Gate 3 is CLOSED. Gate 3F-A locked the state/transition integration model; Gate 3F-B locked respondent-facing presentation and copy; Gate 3F-C/D validated the completed six-layer result plus commercial bridge end to end and completed the Gate 3A-3F closure audit. Final validation explicitly covered consent withdrawal and revisit behavior, preserving current contact-level consent state while leaving historical Assessment Discussion Requests tied to their originating assessment instances. No scoring methodology, weighting, Section 60/61 logic, qualification threshold, SRI/Visibility rule, questionnaire content, or Gate 3E output architecture changed.</w:t>
      </w:r>
    </w:p>
    <w:p>
      <w:pPr/>
      <w:r>
        <w:t>v1.10.1 corrective note: two residual pre-closure status lines were reconciled with the already-validated Gate 3F/Gate 3 closure. No methodology, architecture, decision, or evidentiary content changed.</w:t>
      </w:r>
    </w:p>
    <w:p>
      <w:r>
        <w:rPr>
          <w:b/>
        </w:rPr>
        <w:t>v1.11 closure note: Gate 4 (4A–4E) is CLOSED. Gate 4E Production Design Specification &amp; Handoff v0.1.1 is the final production handoff. Implementation is AUTHORIZED, subject to mandatory E-01–E-10 empirical pre-production validation and runtime accessibility/production verification before release.</w:t>
      </w:r>
    </w:p>
    <w:p>
      <w:r>
        <w:rPr>
          <w:b/>
        </w:rPr>
        <w:t>v1.11.1 closure note: The Post-I4 regression gate is CLOSED. The approved correction addresses test-side asynchronous timing assumptions after Start assessment; no production routing or persistence defect was identified, and no production code changed. Commit 8c98575d4f3e28fcd6e6ef199086c3afa0949eb2 is the authoritative implementation baseline for subsequent PFI Assessment Experience &amp; Output work. I5 had not started when this baseline was established.</w:t>
      </w:r>
    </w:p>
    <w:p>
      <w:pPr/>
      <w:r>
        <w:t>v1.11.2 closure note: I6 Integration &amp; Release Readiness is implementation-complete with release gates remaining. The integrated I0–I6 build has no known blocking implementation defect, but production release is not authorized. E-01 through E-10 remain NOT EXECUTED — RELEASE GATE OPEN; assistive-technology and additional supported-browser verification remain open; and production hosting, durable persistence, privacy/storage policy, commercial delivery/handling, monitoring, retention/deletion, environment, and public-routing configuration remain unresolved deployment dependencies. No methodology, questionnaire, scoring, qualification, result, commercial-scope, or Gate 1–4 decision changed.</w:t>
      </w:r>
    </w:p>
    <CT_P/>
    <w:p>
      <w:pPr>
        <w:pStyle w:val="ListParagraph"/>
        <w:numPr>
          <w:ilvl w:val="0"/>
          <w:numId w:val="1"/>
        </w:numPr>
        <w:spacing w:after="100"/>
      </w:pPr>
      <w:r>
        <w:t>Implementation may not alter locked weighting, questionnaire, scoring, applicability, visibility, SRI, or composite rules unless a material methodological conflict is identified.</w:t>
      </w:r>
    </w:p>
    <w:p>
      <w:pPr>
        <w:pStyle w:val="ListParagraph"/>
        <w:numPr>
          <w:ilvl w:val="0"/>
          <w:numId w:val="1"/>
        </w:numPr>
        <w:spacing w:after="100"/>
      </w:pPr>
      <w:r>
        <w:t>A design inconvenience, copy preference, or component limitation is not a methodological conflict.</w:t>
      </w:r>
    </w:p>
    <w:p>
      <w:pPr>
        <w:pStyle w:val="ListParagraph"/>
        <w:numPr>
          <w:ilvl w:val="0"/>
          <w:numId w:val="1"/>
        </w:numPr>
        <w:spacing w:after="100"/>
      </w:pPr>
      <w:r>
        <w:t>If a material conflict is identified, it is recorded here first before any decision is made to reopen v28.</w:t>
      </w:r>
    </w:p>
    <w:p>
      <w:pPr>
        <w:pStyle w:val="Heading1"/>
        <w:spacing w:after="160" w:before="320"/>
      </w:pPr>
      <w:r>
        <w:t>2. Governing Experience Principle</w:t>
      </w:r>
    </w:p>
    <w:p>
      <w:pPr>
        <w:spacing w:after="160"/>
      </w:pPr>
      <w:r>
        <w:rPr>
          <w:b/>
          <w:bCs/>
        </w:rPr>
        <w:t>PFI helps identify where to look. Deeper examination determines what, if anything, should change.</w:t>
      </w:r>
    </w:p>
    <w:p>
      <w:pPr>
        <w:spacing w:after="160"/>
      </w:pPr>
      <w:r>
        <w:t>The assessment may automatically surface response-based evidence, including weak signals. It must not convert those signals into unsupported causal findings, diagnoses, or prescriptions.</w:t>
      </w:r>
    </w:p>
    <w:p>
      <w:pPr>
        <w:pStyle w:val="Heading1"/>
        <w:spacing w:after="160" w:before="320"/>
      </w:pPr>
      <w:r>
        <w:t>3. Source and Implementation Baseline</w:t>
      </w:r>
    </w:p>
    <w:p>
      <w:pPr>
        <w:pStyle w:val="ListParagraph"/>
        <w:numPr>
          <w:ilvl w:val="0"/>
          <w:numId w:val="1"/>
        </w:numPr>
        <w:spacing w:after="100"/>
      </w:pPr>
      <w:r>
        <w:t>Methodology: PFI Strategy Review Working Record v28.</w:t>
      </w:r>
    </w:p>
    <w:p>
      <w:pPr>
        <w:pStyle w:val="ListParagraph"/>
        <w:numPr>
          <w:ilvl w:val="0"/>
          <w:numId w:val="1"/>
        </w:numPr>
        <w:spacing w:after="100"/>
      </w:pPr>
      <w:r>
        <w:t>Live implementation: carlosurena.com/pfi.</w:t>
      </w:r>
    </w:p>
    <w:p>
      <w:pPr>
        <w:pStyle w:val="ListParagraph"/>
        <w:numPr>
          <w:ilvl w:val="0"/>
          <w:numId w:val="1"/>
        </w:numPr>
        <w:spacing w:after="100"/>
      </w:pPr>
      <w:r>
        <w:t>Source repository: curena1206/-payments-portfolio-diagnostic- (main branch).</w:t>
      </w:r>
    </w:p>
    <w:p>
      <w:pPr>
        <w:spacing w:after="160"/>
      </w:pPr>
      <w:r>
        <w:t>The implementation audit uses the actual source files (including index.html, app.js, model.js, and styles.css) where behavior cannot be established reliably from the static live-page shell.</w:t>
      </w:r>
    </w:p>
    <w:p>
      <w:pPr>
        <w:pStyle w:val="Heading1"/>
        <w:spacing w:after="160" w:before="320"/>
      </w:pPr>
      <w:r>
        <w:t>4. Gate 1 - Assessment Entry &amp; Instructions</w:t>
      </w:r>
    </w:p>
    <w:p>
      <w:pPr>
        <w:spacing w:after="160"/>
      </w:pPr>
      <w:r>
        <w:rPr>
          <w:b/>
          <w:bCs/>
        </w:rPr>
        <w:t xml:space="preserve">STATUS: CLOSED</w:t>
      </w:r>
    </w:p>
    <w:p>
      <w:pPr>
        <w:spacing w:after="160"/>
      </w:pPr>
      <w:r>
        <w:t xml:space="preserve">Gate 1 audited the entry promise, instructions, population framing, privacy statement, diagnostic introduction, and methodological boundary before the respondent begins the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Component</w:t>
            </w:r>
          </w:p>
        </w:tc>
        <w:tc>
          <w:tcPr>
            <w:tcW w:type="dxa" w:w="1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Disposition</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Locked implementation direction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headline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the existing opening tension.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subhead</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portfolio-performance framing; do not assert established causal conditions.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Meta 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Update to 49 questions / seven dimensions; revalidate or omit completion-time claim.</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How It Works</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Rebuild around Assess / Surface / Explore.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What You'll Receive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diagnosis, dependency-detection and 30/60/90 promises; avoid pre-committing to a Gate 3 module name.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Privacy statement</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'No data stored / Browser session only' unless implementation changes.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Diagnostic introduction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operator-level and revenue-only framing; instruct respondents to answer from direct experience, not aspirationally.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instruction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the structural-absence principle; exact placement/treatment deferred to Gate 2.</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Illustrative-examples note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subject to anchor-level implementation fidelity.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Population disclosure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State that Standard PFI is calibrated for commercial payments franchises operated within banking institutions.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Epistemic boundary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Explain what PFI can and cannot establish before assessment begins.</w:t>
            </w:r>
          </w:p>
        </w:tc>
      </w:tr>
    </w:tbl>
    <w:p>
      <w:pPr>
        <w:pStyle w:val="Heading2"/>
        <w:spacing w:after="120" w:before="240"/>
      </w:pPr>
      <w:r>
        <w:t xml:space="preserve">4.1 Combined respondent-boundary block</w:t>
      </w:r>
    </w:p>
    <w:p>
      <w:pPr>
        <w:spacing w:after="160"/>
      </w:pPr>
      <w:r>
        <w:t xml:space="preserve">Population disclosure and the epistemic boundary should be delivered as one short instructional block after How It Works and before the diagnostic begins, rather than as disconnected disclaimer lines.</w:t>
      </w:r>
    </w:p>
    <w:p>
      <w:pPr>
        <w:spacing w:after="160"/>
      </w:pPr>
      <w:r>
        <w:rPr>
          <w:b/>
          <w:bCs/>
        </w:rPr>
        <w:t xml:space="preserve">Working boundary copy: </w:t>
      </w:r>
      <w:r>
        <w:t xml:space="preserve">PFI provides a structured view of your payments franchise based on your responses. It can identify areas that may warrant deeper attention. It does not diagnose root causes or determine what management should change.</w:t>
      </w:r>
    </w:p>
    <w:p>
      <w:pPr>
        <w:spacing w:after="160"/>
      </w:pPr>
      <w:r>
        <w:t xml:space="preserve">No separate substantive About section exists in the current live experience; the prior audit gap is therefore closed.</w:t>
      </w:r>
    </w:p>
    <w:p>
      <w:pPr>
        <w:pStyle w:val="Heading2"/>
        <w:spacing w:after="120" w:before="240"/>
      </w:pPr>
      <w:r>
        <w:t xml:space="preserve">4.2 Gate 1 methodological finding</w:t>
      </w:r>
    </w:p>
    <w:p>
      <w:pPr>
        <w:spacing w:after="160"/>
      </w:pPr>
      <w:r>
        <w:t xml:space="preserve">No material methodological conflict was identified. All Gate 1 issues are implementation gaps between the existing PFI and v28. v28 remains frozen.</w:t>
      </w:r>
    </w:p>
    <w:p>
      <w:pPr>
        <w:pStyle w:val="Heading1"/>
        <w:spacing w:after="160" w:before="320"/>
      </w:pPr>
      <w:r>
        <w:t xml:space="preserve">5. Gate 2 - Assessment Interaction</w:t>
      </w:r>
    </w:p>
    <w:p>
      <w:pPr>
        <w:spacing w:after="160"/>
      </w:pPr>
      <w:r>
        <w:t>STATUS: CLOSED - BASELINE RETAINED AS AUTHORITATIVE IMPLEMENTATION RECORD</w:t>
      </w:r>
    </w:p>
    <w:p>
      <w:pPr>
        <w:spacing w:after="160"/>
      </w:pPr>
      <w:r>
        <w:t xml:space="preserve">The existing interaction was baselined from source before any redesign decision. The current assessment uses dimension/pillar accordions, stacked radio-card options, immediate answer storage, free answer revision, and global completion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c>
          <w:tcPr>
            <w:tcW w:type="dxa" w:w="4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Existing element</w:t>
            </w:r>
          </w:p>
        </w:tc>
        <w:tc>
          <w:tcPr>
            <w:tcW w:type="dxa" w:w="5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Baseline disposition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Accordion by dimension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header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 title + description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pattern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label + subtext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choices visible simultaneously</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in 2A; no existing six-level precedent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Automatic score storage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conceptually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Ability to revise answers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 complete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answered count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per-question Next/Previous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accordion navigation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at 49-question scale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weights visible pre-answer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response-integrity decision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denominator exclusion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 model declares a null score, but the renderer coerces it to NaN; numeric-only guards do not reliably exclude it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logic</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 equivalent eligibility architecture exists</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rationale/evidence capture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not previously named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behavior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Composite zero-imputation on unanswered dimensions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10-answer completion gate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Insufficient Basis state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bl>
    <w:p>
      <w:pPr>
        <w:pStyle w:val="Heading2"/>
        <w:spacing w:after="120" w:before="240"/>
      </w:pPr>
      <w:r>
        <w:t xml:space="preserve">5.1 Corrected N/A implementation finding (supersedes prior version)</w:t>
      </w:r>
    </w:p>
    <w:p>
      <w:pPr>
        <w:spacing w:after="160"/>
      </w:pPr>
      <w:r>
        <w:t xml:space="preserve">An earlier version of this record stated that the legacy N/A option's null score is excluded from dimension averaging by the existing numeric-only guard. Source-level verification during Gate 2C found this to be incorrect. The defect traces precisely as follows: the option is declared with score: null in model.js; the renderer emits this into the DOM as the literal attribute value="null"; reading that value back through Number(e.target.value) produces NaN, not null; and JavaScript's typeof NaN is "number", so the existing guard (typeof state.answers[q.id] === "number") admits the corrupted value rather than excluding it.</w:t>
      </w:r>
    </w:p>
    <w:p>
      <w:pPr>
        <w:spacing w:after="160"/>
      </w:pPr>
      <w:r>
        <w:t xml:space="preserve">The consequence is not a graceful failure to exclude. Once NaN enters a pillar's score array, it propagates through the averaging sum, corrupting that pillar's score to NaN. Because the overall composite sums every pillar's weighted contribution unconditionally, that single corrupted pillar corrupts the entire PFI composite score to NaN. This is a confirmed live defect in the current production tool, not merely a future redesign gap, and is logged separately below as a production issue rather than folded into the Gate 2C architecture.</w:t>
      </w:r>
    </w:p>
    <w:p>
      <w:pPr>
        <w:spacing w:after="160"/>
      </w:pPr>
      <w:r>
        <w:t xml:space="preserve">No functioning legacy N/A primitive exists to generalize. The v28 eligibility architecture, the structural-absence factual test, and explicit non-numeric N/A state handling must all be implemented, not extended from existing behavior.</w:t>
      </w:r>
    </w:p>
    <w:p>
      <w:pPr>
        <w:pStyle w:val="Heading2"/>
        <w:spacing w:after="120" w:before="240"/>
      </w:pPr>
      <w:r>
        <w:t xml:space="preserve">5.2 Scoring conflicts identified in source</w:t>
      </w:r>
    </w:p>
    <w:p>
      <w:pPr>
        <w:pStyle w:val="ListParagraph"/>
        <w:numPr>
          <w:ilvl w:val="0"/>
          <w:numId w:val="1"/>
        </w:numPr>
        <w:spacing w:after="100"/>
      </w:pPr>
      <w:r>
        <w:t xml:space="preserve">Composite zero-imputation - unanswered dimensions currently fall through to zero and are included at full weight. REPLACE. Absence of evidence must not be treated as evidence of failure.</w:t>
      </w:r>
    </w:p>
    <w:p>
      <w:pPr>
        <w:pStyle w:val="ListParagraph"/>
        <w:numPr>
          <w:ilvl w:val="0"/>
          <w:numId w:val="1"/>
        </w:numPr>
        <w:spacing w:after="100"/>
      </w:pPr>
      <w:r>
        <w:t xml:space="preserve">Global 10-answer gate - the current implementation blocks results below ten total answers. REPLACE. Evidence sufficiency is dimension-specific under v28.</w:t>
      </w:r>
    </w:p>
    <w:p>
      <w:pPr>
        <w:pStyle w:val="ListParagraph"/>
        <w:numPr>
          <w:ilvl w:val="0"/>
          <w:numId w:val="1"/>
        </w:numPr>
        <w:spacing w:after="100"/>
      </w:pPr>
      <w:r>
        <w:t xml:space="preserve">Insufficient Basis - no current state exists for a dimension below the locked minimum evidence floor. ADD.</w:t>
      </w:r>
    </w:p>
    <w:p>
      <w:pPr>
        <w:pStyle w:val="Heading2"/>
        <w:spacing w:after="120" w:before="240"/>
      </w:pPr>
      <w:r>
        <w:t xml:space="preserve">5.3 Section 61 boundary - read only</w:t>
      </w:r>
    </w:p>
    <w:p>
      <w:pPr>
        <w:spacing w:after="160"/>
      </w:pPr>
      <w:r>
        <w:t xml:space="preserve">Gate 2 does not author composite availability or missing-dimension mathematics. It must hand off correct per-dimension evidence state to the locked Section 61 calculation.</w:t>
      </w:r>
    </w:p>
    <w:p>
      <w:pPr>
        <w:pStyle w:val="ListParagraph"/>
        <w:numPr>
          <w:ilvl w:val="0"/>
          <w:numId w:val="1"/>
        </w:numPr>
        <w:spacing w:after="100"/>
      </w:pPr>
      <w:r>
        <w:t xml:space="preserve">Standard PFI Composite: only when all seven dimensions clear the minimum evidence floor and receive numeric scores.</w:t>
      </w:r>
    </w:p>
    <w:p>
      <w:pPr>
        <w:pStyle w:val="ListParagraph"/>
        <w:numPr>
          <w:ilvl w:val="0"/>
          <w:numId w:val="1"/>
        </w:numPr>
        <w:spacing w:after="100"/>
      </w:pPr>
      <w:r>
        <w:t xml:space="preserve">Adjusted PFI Composite: only when at least five dimensions have valid numeric scores and those scored dimensions represent at least 65% of locked Standard PFI weight.</w:t>
      </w:r>
    </w:p>
    <w:p>
      <w:pPr>
        <w:pStyle w:val="ListParagraph"/>
        <w:numPr>
          <w:ilvl w:val="0"/>
          <w:numId w:val="1"/>
        </w:numPr>
        <w:spacing w:after="100"/>
      </w:pPr>
      <w:r>
        <w:t xml:space="preserve">If either Adjusted PFI gate fails: profile-only output; no aggregate score.</w:t>
      </w:r>
    </w:p>
    <w:p>
      <w:pPr>
        <w:pStyle w:val="ListParagraph"/>
        <w:numPr>
          <w:ilvl w:val="0"/>
          <w:numId w:val="1"/>
        </w:numPr>
        <w:spacing w:after="100"/>
      </w:pPr>
      <w:r>
        <w:t xml:space="preserve">No imputation of missing dimensions.</w:t>
      </w:r>
    </w:p>
    <w:p>
      <w:pPr>
        <w:pStyle w:val="ListParagraph"/>
        <w:numPr>
          <w:ilvl w:val="0"/>
          <w:numId w:val="1"/>
        </w:numPr>
        <w:spacing w:after="100"/>
      </w:pPr>
      <w:r>
        <w:t xml:space="preserve">Adjusted output must disclose scored-dimension count, Standard PFI weight coverage, missing dimensions, and original weights.</w:t>
      </w:r>
    </w:p>
    <w:p>
      <w:pPr>
        <w:pStyle w:val="ListParagraph"/>
        <w:numPr>
          <w:ilvl w:val="0"/>
          <w:numId w:val="1"/>
        </w:numPr>
        <w:spacing w:after="100"/>
      </w:pPr>
      <w:r>
        <w:t xml:space="preserve">Evidence coverage remains visible with each dimension result.</w:t>
      </w:r>
    </w:p>
    <w:p>
      <w:pPr>
        <w:pStyle w:val="Heading1"/>
        <w:spacing w:after="160" w:before="320"/>
      </w:pPr>
      <w:r>
        <w:t xml:space="preserve">6. Gate 2A - Six-Level Question Presentation</w:t>
      </w:r>
    </w:p>
    <w:p>
      <w:pPr>
        <w:spacing w:after="160"/>
      </w:pPr>
      <w:r>
        <w:rPr>
          <w:b/>
          <w:bCs/>
        </w:rPr>
        <w:t xml:space="preserve">STATUS: CLOSED</w:t>
      </w:r>
    </w:p>
    <w:p>
      <w:pPr>
        <w:spacing w:after="160"/>
      </w:pPr>
      <w:r>
        <w:t xml:space="preserve">2A tested whether the existing radio-card anatomy can present the locked question-specific 0-5 anchors accurately, efficiently, and without requiring compression of the methodology.</w:t>
      </w:r>
    </w:p>
    <w:p>
      <w:pPr>
        <w:pStyle w:val="Heading2"/>
        <w:spacing w:after="120" w:before="240"/>
      </w:pPr>
      <w:r>
        <w:t xml:space="preserve">6.1 Representative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600"/>
      </w:tblGrid>
      <w:tr>
        <w:tc>
          <w:tcPr>
            <w:tcW w:type="dxa" w:w="3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3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Why selected</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Weight cross-check</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G1 - Decision-Rights Clarity</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Straightforward Capability-only question with a relatively clean six-level progression.</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Governance &amp; Operating Model: 18.86%</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GE5 - Growth Strategy Translation and Targeting</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Text-dense Capability-only question with a material Level 3 boundary around prioritization, deprioritization, and rationale.</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Growth Engine Quality: 2.13%</w:t>
            </w:r>
          </w:p>
        </w:tc>
      </w:tr>
    </w:tbl>
    <w:p>
      <w:pPr>
        <w:spacing w:after="160"/>
      </w:pPr>
      <w:r>
        <w:t xml:space="preserve">Both questions are Capability-only. Dual-path complexity was intentionally excluded from 2A so that any failure could be attributed to ordinary six-anchor presentation rather than path architecture.</w:t>
      </w:r>
    </w:p>
    <w:p>
      <w:pPr>
        <w:pStyle w:val="Heading2"/>
        <w:spacing w:after="120" w:before="240"/>
      </w:pPr>
      <w:r>
        <w:t>6.2 Corrected source-level density confirmation (supersedes prior version)</w:t>
      </w:r>
    </w:p>
    <w:p>
      <w:pPr>
        <w:spacing w:after="160"/>
      </w:pPr>
      <w:r>
        <w:t>The prior version of this record correctly captured the nominal response-card declarations in styles.css but incorrectly described them as the typography respondents actually see. styles.css declares q-options with a 7px gap, each option with 11px 14px padding, option-label at 13.5px, and option-sub at 12px, with no media query providing a compact treatment for option or q-options. However, index.html contains an inline !important override that forces q-title, q-desc, option-label, and option-sub to Georgia, serif at 17px. That inline rule wins over the nominal stylesheet sizes. The current live assessment therefore renders materially denser question and response text than Section 6.2 previously stated. Gate 2D prototype validation must use the actual rendered 17px Georgia treatment when testing the current implementation baseline, while the nominal stylesheet values remain relevant only as evidence of the intended-but-overridden design.</w:t>
      </w:r>
    </w:p>
    <w:p>
      <w:pPr>
        <w:pStyle w:val="Heading2"/>
        <w:spacing w:after="120" w:before="240"/>
      </w:pPr>
      <w:r>
        <w:t xml:space="preserve">6.3 2A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Rationale / requirement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primitive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interaction primitive is fundamentally compatible with v28.</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 question-specific 0-5 anchors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to primitive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Every scored question must expose the complete locked anchor set.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Common level + full anchor hierarchy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Later full-instrument review and usability testing established that numeric levels and maturity-level names need not be respondent-facing and create avoidable scoring cues. Full locked anchor text remains required;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six alternatives visible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RETAIN principle / SUPERSEDED presentation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All six locked evidence statements remain simultaneously visible for standard questions, but are presented as flat randomized statements with no visible level number or maturity-level name;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slider/dropdown/0-5 selector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Would conceal calibrated distinctions between maturity levels.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Anchor shortening to fit UI</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methodology constrains the component, not the reverse.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spacing/density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Current treatment was not designed for six evidence-rich anchors.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Seven expanded questions per open dimension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2D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Flow question, not a reason to fail the card in 2A.</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Mobile viability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CONDITIONAL PASS</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Control remains touch-appropriate; vertical density needs treatment.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visible pre-answer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answer-elicitation benefit; credible response-integrity/bias exposure.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in results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GATE 3</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Potentially useful for interpretation; not an assessment-entry cue.</w:t>
            </w:r>
          </w:p>
        </w:tc>
      </w:tr>
    </w:tbl>
    <w:p>
      <w:r>
        <w:rPr>
          <w:b/>
        </w:rPr>
        <w:t xml:space="preserve">Supersession note: </w:t>
      </w:r>
      <w:r>
        <w:t>The 2A conclusion that the radio-card primitive survives remains valid. What is superseded is only the respondent-facing orientation device that showed the common numeric level and maturity-level name. Full anchor fidelity, one-response selection, and the no-compression rule remain locked.</w:t>
      </w:r>
    </w:p>
    <w:p>
      <w:pPr>
        <w:pStyle w:val="Heading2"/>
        <w:spacing w:after="120" w:before="240"/>
      </w:pPr>
      <w:r>
        <w:t xml:space="preserve">6.4 Weight-visibility response-integrity finding</w:t>
      </w:r>
    </w:p>
    <w:p>
      <w:pPr>
        <w:spacing w:after="160"/>
      </w:pPr>
      <w:r>
        <w:t xml:space="preserve">The G1/GE5 comparison demonstrated that question density and dimension importance are independent. Displaying 18.86% above a Governance section and 2.13% above a Growth section can cue respondents to treat equally valid evidence with different perceived seriousness. The assessment should therefore remove dimension weights from the pre-answer interface. In the current header implementation, weight and subtitle share one line; removing the weight leaves the subtitle cleanly usable and does not create a larger layout dependency.</w:t>
      </w:r>
    </w:p>
    <w:p>
      <w:pPr>
        <w:pStyle w:val="Heading2"/>
        <w:spacing w:after="120" w:before="240"/>
      </w:pPr>
      <w:r>
        <w:t xml:space="preserve">6.5 Gate 2A conclusion</w:t>
      </w:r>
    </w:p>
    <w:p>
      <w:pPr>
        <w:spacing w:after="160"/>
      </w:pPr>
      <w:r>
        <w:t xml:space="preserve">The existing ordinary question-card component survives. It does not need replacement for Capability-only questions. Its hierarchy and density must be modified for six evidence-rich anchors. The seven-questions-per-open-dimension question remains unresolved and is handed to Gate 2D.</w:t>
      </w:r>
    </w:p>
    <w:p>
      <w:pPr>
        <w:spacing w:after="160"/>
      </w:pPr>
      <w:r>
        <w:t xml:space="preserve">No material methodological conflict was identified. v28 remains frozen.</w:t>
      </w:r>
    </w:p>
    <w:p>
      <w:pPr>
        <w:pStyle w:val="Heading1"/>
        <w:spacing w:after="160" w:before="320"/>
      </w:pPr>
      <w:r>
        <w:t xml:space="preserve">7. Gate 2B - Dual-Path Interaction</w:t>
      </w:r>
    </w:p>
    <w:p>
      <w:pPr>
        <w:spacing w:after="160"/>
      </w:pPr>
      <w:r>
        <w:rPr>
          <w:b/>
          <w:bCs/>
        </w:rPr>
        <w:t xml:space="preserve">STATUS: CLOSED (ARCHITECTURE) - PROTOTYPE-VALIDATION CARRYOVER RECORDED</w:t>
      </w:r>
    </w:p>
    <w:p>
      <w:pPr>
        <w:spacing w:after="160"/>
      </w:pPr>
      <w:r>
        <w:t xml:space="preserve">2B tested whether the surviving card architecture (retained from 2A) can represent two substantively legitimate maturity paths, Capability and Intentional-Choice, without privileging either path or producing an unreadable response wall.</w:t>
      </w:r>
    </w:p>
    <w:p>
      <w:pPr>
        <w:pStyle w:val="Heading2"/>
        <w:spacing w:after="120" w:before="240"/>
      </w:pPr>
      <w:r>
        <w:t xml:space="preserve">7.1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4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Role</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Dimension</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C2 - Capability-to-Client-Value Alignment</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First case. Isolates the dual-path architecture: short question, Levels 0-2 shared, Levels 3-5 cleanly parallel.</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Client Value &amp; Commercial Relevance: 31.87%</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MC4 - Cost-Structure Flexibility and Scalability</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Second case. Load test: substantially denser anchors, including the Intentional-Choice Level 3 boundary that a bare assertion of 'specialization by design' does not satisfy.</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Margin &amp; Cost Structure: 6.25%</w:t>
            </w:r>
          </w:p>
        </w:tc>
      </w:tr>
    </w:tbl>
    <w:p>
      <w:pPr>
        <w:spacing w:after="160"/>
      </w:pPr>
      <w:r>
        <w:t xml:space="preserve">Both are the locked Dual-path type. C2 solves the architecture question with minimal text-density confound. MC4 then stress-tests that architecture under maximum content load, the same isolate-then-stress discipline used for G1/GE5 in 2A.</w:t>
      </w:r>
    </w:p>
    <w:p>
      <w:pPr>
        <w:pStyle w:val="Heading2"/>
        <w:spacing w:after="120" w:before="240"/>
      </w:pPr>
      <w:r>
        <w:t xml:space="preserve">7.2 Density confirmation</w:t>
      </w:r>
    </w:p>
    <w:p>
      <w:pPr>
        <w:spacing w:after="160"/>
      </w:pPr>
      <w:r>
        <w:t xml:space="preserve">Anchor text was counted directly rather than estimated. C2 totals 158 words across its nine anchors (three shared, three Capability, three Intentional-Choice). MC4 totals 244 words, a 54% increase. The increase concentrates in the Intentional-Choice branch specifically: 70 words in C2 versus 109 in MC4, a 56% increase, driven by the added trade-off and exclusion language at Level 3. This confirms MC4 is a valid load test of the Intentional-Choice cluster in particular, not merely a longer question.</w:t>
      </w:r>
    </w:p>
    <w:p>
      <w:pPr>
        <w:pStyle w:val="Heading2"/>
        <w:spacing w:after="120" w:before="240"/>
      </w:pPr>
      <w:r>
        <w:t xml:space="preserve">7.3 Architecture rejected: nine-option flat list</w:t>
      </w:r>
    </w:p>
    <w:p>
      <w:pPr>
        <w:spacing w:after="160"/>
      </w:pPr>
      <w:r>
        <w:t xml:space="preserve">Populating all nine anchors into the existing flat options[] array, with two entries sharing each of scores 3, 4, and 5, requires no code change and preserves correct mutual-exclusivity behavior. Rejected on presentation grounds: nine undifferentiated stacked rows erase the six-level orientation that the label/subtext hierarchy in 2A was designed to preserve, and read as a longer, more granular scale rather than two equally valid expressions of the same six levels.</w:t>
      </w:r>
    </w:p>
    <w:p>
      <w:pPr>
        <w:pStyle w:val="Heading2"/>
        <w:spacing w:after="120" w:before="240"/>
      </w:pPr>
      <w:r>
        <w:t xml:space="preserve">7.4 Architecture rejected: pre-answer path selector</w:t>
      </w:r>
    </w:p>
    <w:p>
      <w:pPr>
        <w:spacing w:after="160"/>
      </w:pPr>
      <w:r>
        <w:t xml:space="preserve">Asking the respondent to declare Capability or Intentional-Choice before seeing the Level 3-5 anchors was rejected as epistemically backward. The anchor text is what should establish which description fits the respondent's circumstances; asking for that categorization first, using methodology language the respondent may not share, inverts the evidence relationship the question is designed to test.</w:t>
      </w:r>
    </w:p>
    <w:p>
      <w:pPr>
        <w:pStyle w:val="Heading2"/>
        <w:spacing w:after="120" w:before="240"/>
      </w:pPr>
      <w:r>
        <w:t xml:space="preserve">7.5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Dual-path 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Single mutually exclusive response group</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Shared Levels 0-2</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Levels 3-5</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metadata in question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Group-aware rendering</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 respondent-facing path grouping</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Existing option-row primitive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Nine undifferentiated radio rows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now accepted as flat randomized evidence statements</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Pre-answer path selector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response order randomized independently per question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Randomized 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stable per-question randomization adopted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Visual hierarchy between paths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groups not shown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Labels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labels remain internal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 anchor compression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RESOLVED by prototype/usability testing; see 7.9</w:t>
            </w:r>
          </w:p>
        </w:tc>
      </w:tr>
    </w:tbl>
    <w:p>
      <w:pPr>
        <w:pStyle w:val="Heading2"/>
        <w:spacing w:after="120" w:before="240"/>
      </w:pPr>
      <w:r>
        <w:t xml:space="preserve">7.6 Path-order basis</w:t>
      </w:r>
    </w:p>
    <w:p>
      <w:pPr>
        <w:spacing w:after="160"/>
      </w:pPr>
      <w:r>
        <w:t xml:space="preserve">All seven locked Dual-path questions, C2, C3, C7, R4, R6, M4, and MC4, state Capability Path before Intentional-Choice Path in their locked anchor text, without exception. Presentation order follows this existing methodological convention rather than an interface-invented rule: Capability cluster first, Intentional-Choice cluster second, fixed, not randomized. Visual parity, not order, is the safeguard against implying either path is the default route; identical heading weight, spacing, and typography apply to both clusters, with no shading, indentation, or qualifying language such as 'Alternative path' on either side.</w:t>
      </w:r>
    </w:p>
    <w:p>
      <w:pPr>
        <w:pStyle w:val="Heading2"/>
        <w:spacing w:after="120" w:before="240"/>
      </w:pPr>
      <w:r>
        <w:t>7.7 Original prototype-validation carryover - RESOLVED / SUPERSEDED</w:t>
      </w:r>
    </w:p>
    <w:p>
      <w:r>
        <w:t>The original carryover asked whether respondents could preserve Level 3/4/5 correspondence across visibly grouped Capability and Intentional-Choice paths under maximum density.</w:t>
      </w:r>
    </w:p>
    <w:p>
      <w:r>
        <w:t>Subsequent usability testing showed that the visible grouping itself made one Dual-path question feel like multiple questions. Full-instrument methodology review then confirmed that scores, maturity-level names, and Capability/Intentional-Choice labels are construction/scoring concepts rather than respondent-facing requirements. The grouped-orientation problem is therefore retired rather than carried forward.</w:t>
      </w:r>
    </w:p>
    <w:p>
      <w:pPr>
        <w:pStyle w:val="Heading2"/>
        <w:spacing w:after="120" w:before="240"/>
      </w:pPr>
      <w:r>
        <w:t>7.8 Original Gate 2B conclusion - PRESENTATION SUPERSEDED</w:t>
      </w:r>
    </w:p>
    <w:p>
      <w:pPr>
        <w:pStyle w:val="Heading2"/>
      </w:pPr>
      <w:r>
        <w:t>7.9 Respondent-facing response architecture - REVISED AND LOCKED</w:t>
      </w:r>
    </w:p>
    <w:p>
      <w:r>
        <w:rPr>
          <w:b/>
          <w:color w:val="2B506E"/>
        </w:rPr>
        <w:t>STATUS: LOCKED AFTER FULL-INSTRUMENT REVIEW AND USABILITY VALIDATION</w:t>
      </w:r>
    </w:p>
    <w:p>
      <w:r>
        <w:t>The Dual-path methodology remains unchanged. The respondent-facing presentation is superseded because the premise underlying the original grouped design no longer holds: respondents do not need to see the internal 0-5 level architecture, maturity-level names, or Capability/Intentional-Choice path labels in order for v28 to score and interpret the selected anchor correctly.</w:t>
      </w:r>
    </w:p>
    <w:tbl>
      <w:tblPr>
        <w:tblW w:type="auto" w:w="0"/>
        <w:tblLook w:firstColumn="1" w:firstRow="1" w:lastColumn="0" w:lastRow="0" w:noHBand="0" w:noVBand="1" w:val="04A0"/>
      </w:tblPr>
      <w:tblGrid>
        <w:gridCol w:w="3120"/>
        <w:gridCol w:w="3120"/>
        <w:gridCol w:w="3120"/>
      </w:tblGrid>
      <w:tr>
        <w:tc>
          <w:tcPr>
            <w:tcW w:type="dxa" w:w="3120"/>
            <w:vAlign w:val="center"/>
            <w:shd w:fill="244A66"/>
          </w:tcPr>
          <w:p>
            <w:pPr>
              <w:spacing w:after="0"/>
            </w:pPr>
            <w:r/>
            <w:r>
              <w:rPr>
                <w:rFonts w:ascii="Aptos" w:hAnsi="Aptos"/>
                <w:b/>
                <w:color w:val="FFFFFF"/>
                <w:sz w:val="16"/>
              </w:rPr>
              <w:t>Element</w:t>
            </w:r>
          </w:p>
        </w:tc>
        <w:tc>
          <w:tcPr>
            <w:tcW w:type="dxa" w:w="3120"/>
            <w:vAlign w:val="center"/>
            <w:shd w:fill="244A66"/>
          </w:tcPr>
          <w:p>
            <w:pPr>
              <w:spacing w:after="0"/>
            </w:pPr>
            <w:r/>
            <w:r>
              <w:rPr>
                <w:rFonts w:ascii="Aptos" w:hAnsi="Aptos"/>
                <w:b/>
                <w:color w:val="FFFFFF"/>
                <w:sz w:val="16"/>
              </w:rPr>
              <w:t>Locked decision</w:t>
            </w:r>
          </w:p>
        </w:tc>
        <w:tc>
          <w:tcPr>
            <w:tcW w:type="dxa" w:w="3120"/>
            <w:vAlign w:val="center"/>
            <w:shd w:fill="244A66"/>
          </w:tcPr>
          <w:p>
            <w:pPr>
              <w:spacing w:after="0"/>
            </w:pPr>
            <w:r/>
            <w:r>
              <w:rPr>
                <w:rFonts w:ascii="Aptos" w:hAnsi="Aptos"/>
                <w:b/>
                <w:color w:val="FFFFFF"/>
                <w:sz w:val="16"/>
              </w:rPr>
              <w:t>Requirement / basis</w:t>
            </w:r>
          </w:p>
        </w:tc>
      </w:tr>
      <w:tr>
        <w:tc>
          <w:tcPr>
            <w:tcW w:type="dxa" w:w="3120"/>
            <w:vAlign w:val="center"/>
          </w:tcPr>
          <w:p>
            <w:pPr>
              <w:spacing w:after="0"/>
            </w:pPr>
            <w:r/>
            <w:r>
              <w:rPr>
                <w:rFonts w:ascii="Aptos" w:hAnsi="Aptos"/>
                <w:b w:val="0"/>
                <w:sz w:val="16"/>
              </w:rPr>
              <w:t>Standard questions</w:t>
            </w:r>
          </w:p>
        </w:tc>
        <w:tc>
          <w:tcPr>
            <w:tcW w:type="dxa" w:w="3120"/>
            <w:vAlign w:val="center"/>
          </w:tcPr>
          <w:p>
            <w:pPr>
              <w:spacing w:after="0"/>
            </w:pPr>
            <w:r/>
            <w:r>
              <w:rPr>
                <w:rFonts w:ascii="Aptos" w:hAnsi="Aptos"/>
                <w:b w:val="0"/>
                <w:sz w:val="16"/>
              </w:rPr>
              <w:t>6 flat randomized evidence statements</w:t>
            </w:r>
          </w:p>
        </w:tc>
        <w:tc>
          <w:tcPr>
            <w:tcW w:type="dxa" w:w="3120"/>
            <w:vAlign w:val="center"/>
          </w:tcPr>
          <w:p>
            <w:pPr>
              <w:spacing w:after="0"/>
            </w:pPr>
            <w:r/>
            <w:r>
              <w:rPr>
                <w:rFonts w:ascii="Aptos" w:hAnsi="Aptos"/>
                <w:b w:val="0"/>
                <w:sz w:val="16"/>
              </w:rPr>
              <w:t>All six locked anchors visible; one mutually exclusive selection.</w:t>
            </w:r>
          </w:p>
        </w:tc>
      </w:tr>
      <w:tr>
        <w:tc>
          <w:tcPr>
            <w:tcW w:type="dxa" w:w="3120"/>
            <w:vAlign w:val="center"/>
            <w:shd w:fill="F3F6F8"/>
          </w:tcPr>
          <w:p>
            <w:pPr>
              <w:spacing w:after="0"/>
            </w:pPr>
            <w:r/>
            <w:r>
              <w:rPr>
                <w:rFonts w:ascii="Aptos" w:hAnsi="Aptos"/>
                <w:b w:val="0"/>
                <w:sz w:val="16"/>
              </w:rPr>
              <w:t>Seven Dual-path questions</w:t>
            </w:r>
          </w:p>
        </w:tc>
        <w:tc>
          <w:tcPr>
            <w:tcW w:type="dxa" w:w="3120"/>
            <w:vAlign w:val="center"/>
            <w:shd w:fill="F3F6F8"/>
          </w:tcPr>
          <w:p>
            <w:pPr>
              <w:spacing w:after="0"/>
            </w:pPr>
            <w:r/>
            <w:r>
              <w:rPr>
                <w:rFonts w:ascii="Aptos" w:hAnsi="Aptos"/>
                <w:b w:val="0"/>
                <w:sz w:val="16"/>
              </w:rPr>
              <w:t>9 flat randomized evidence statements</w:t>
            </w:r>
          </w:p>
        </w:tc>
        <w:tc>
          <w:tcPr>
            <w:tcW w:type="dxa" w:w="3120"/>
            <w:vAlign w:val="center"/>
            <w:shd w:fill="F3F6F8"/>
          </w:tcPr>
          <w:p>
            <w:pPr>
              <w:spacing w:after="0"/>
            </w:pPr>
            <w:r/>
            <w:r>
              <w:rPr>
                <w:rFonts w:ascii="Aptos" w:hAnsi="Aptos"/>
                <w:b w:val="0"/>
                <w:sz w:val="16"/>
              </w:rPr>
              <w:t>Three shared and six path-specific anchors remain intact internally but are not visually grouped.</w:t>
            </w:r>
          </w:p>
        </w:tc>
      </w:tr>
      <w:tr>
        <w:tc>
          <w:tcPr>
            <w:tcW w:type="dxa" w:w="3120"/>
            <w:vAlign w:val="center"/>
          </w:tcPr>
          <w:p>
            <w:pPr>
              <w:spacing w:after="0"/>
            </w:pPr>
            <w:r/>
            <w:r>
              <w:rPr>
                <w:rFonts w:ascii="Aptos" w:hAnsi="Aptos"/>
                <w:b w:val="0"/>
                <w:sz w:val="16"/>
              </w:rPr>
              <w:t>Visible score numbers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0-5 values remain internal scoring metadata only.</w:t>
            </w:r>
          </w:p>
        </w:tc>
      </w:tr>
      <w:tr>
        <w:tc>
          <w:tcPr>
            <w:tcW w:type="dxa" w:w="3120"/>
            <w:vAlign w:val="center"/>
            <w:shd w:fill="F3F6F8"/>
          </w:tcPr>
          <w:p>
            <w:pPr>
              <w:spacing w:after="0"/>
            </w:pPr>
            <w:r/>
            <w:r>
              <w:rPr>
                <w:rFonts w:ascii="Aptos" w:hAnsi="Aptos"/>
                <w:b w:val="0"/>
                <w:sz w:val="16"/>
              </w:rPr>
              <w:t>Maturity-level names</w:t>
            </w:r>
          </w:p>
        </w:tc>
        <w:tc>
          <w:tcPr>
            <w:tcW w:type="dxa" w:w="3120"/>
            <w:vAlign w:val="center"/>
            <w:shd w:fill="F3F6F8"/>
          </w:tcPr>
          <w:p>
            <w:pPr>
              <w:spacing w:after="0"/>
            </w:pPr>
            <w:r/>
            <w:r>
              <w:rPr>
                <w:rFonts w:ascii="Aptos" w:hAnsi="Aptos"/>
                <w:b w:val="0"/>
                <w:sz w:val="16"/>
              </w:rPr>
              <w:t>HIDE</w:t>
            </w:r>
          </w:p>
        </w:tc>
        <w:tc>
          <w:tcPr>
            <w:tcW w:type="dxa" w:w="3120"/>
            <w:vAlign w:val="center"/>
            <w:shd w:fill="F3F6F8"/>
          </w:tcPr>
          <w:p>
            <w:pPr>
              <w:spacing w:after="0"/>
            </w:pPr>
            <w:r/>
            <w:r>
              <w:rPr>
                <w:rFonts w:ascii="Aptos" w:hAnsi="Aptos"/>
                <w:b w:val="0"/>
                <w:sz w:val="16"/>
              </w:rPr>
              <w:t>Names such as Unrecognized or Integrated and adaptive remain methodology vocabulary, not respondent cues.</w:t>
            </w:r>
          </w:p>
        </w:tc>
      </w:tr>
      <w:tr>
        <w:tc>
          <w:tcPr>
            <w:tcW w:type="dxa" w:w="3120"/>
            <w:vAlign w:val="center"/>
          </w:tcPr>
          <w:p>
            <w:pPr>
              <w:spacing w:after="0"/>
            </w:pPr>
            <w:r/>
            <w:r>
              <w:rPr>
                <w:rFonts w:ascii="Aptos" w:hAnsi="Aptos"/>
                <w:b w:val="0"/>
                <w:sz w:val="16"/>
              </w:rPr>
              <w:t>Capability / Intentional-Choice labels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Path identity remains internal metadata; no respondent-facing headings or blocks.</w:t>
            </w:r>
          </w:p>
        </w:tc>
      </w:tr>
      <w:tr>
        <w:tc>
          <w:tcPr>
            <w:tcW w:type="dxa" w:w="3120"/>
            <w:vAlign w:val="center"/>
            <w:shd w:fill="F3F6F8"/>
          </w:tcPr>
          <w:p>
            <w:pPr>
              <w:spacing w:after="0"/>
            </w:pPr>
            <w:r/>
            <w:r>
              <w:rPr>
                <w:rFonts w:ascii="Aptos" w:hAnsi="Aptos"/>
                <w:b w:val="0"/>
                <w:sz w:val="16"/>
              </w:rPr>
              <w:t>Visual grouping</w:t>
            </w:r>
          </w:p>
        </w:tc>
        <w:tc>
          <w:tcPr>
            <w:tcW w:type="dxa" w:w="3120"/>
            <w:vAlign w:val="center"/>
            <w:shd w:fill="F3F6F8"/>
          </w:tcPr>
          <w:p>
            <w:pPr>
              <w:spacing w:after="0"/>
            </w:pPr>
            <w:r/>
            <w:r>
              <w:rPr>
                <w:rFonts w:ascii="Aptos" w:hAnsi="Aptos"/>
                <w:b w:val="0"/>
                <w:sz w:val="16"/>
              </w:rPr>
              <w:t>NONE</w:t>
            </w:r>
          </w:p>
        </w:tc>
        <w:tc>
          <w:tcPr>
            <w:tcW w:type="dxa" w:w="3120"/>
            <w:vAlign w:val="center"/>
            <w:shd w:fill="F3F6F8"/>
          </w:tcPr>
          <w:p>
            <w:pPr>
              <w:spacing w:after="0"/>
            </w:pPr>
            <w:r/>
            <w:r>
              <w:rPr>
                <w:rFonts w:ascii="Aptos" w:hAnsi="Aptos"/>
                <w:b w:val="0"/>
                <w:sz w:val="16"/>
              </w:rPr>
              <w:t>One continuous response list; no Shared / Capability / Intentional-Choice chunks.</w:t>
            </w:r>
          </w:p>
        </w:tc>
      </w:tr>
      <w:tr>
        <w:tc>
          <w:tcPr>
            <w:tcW w:type="dxa" w:w="3120"/>
            <w:vAlign w:val="center"/>
          </w:tcPr>
          <w:p>
            <w:pPr>
              <w:spacing w:after="0"/>
            </w:pPr>
            <w:r/>
            <w:r>
              <w:rPr>
                <w:rFonts w:ascii="Aptos" w:hAnsi="Aptos"/>
                <w:b w:val="0"/>
                <w:sz w:val="16"/>
              </w:rPr>
              <w:t>Anchor text</w:t>
            </w:r>
          </w:p>
        </w:tc>
        <w:tc>
          <w:tcPr>
            <w:tcW w:type="dxa" w:w="3120"/>
            <w:vAlign w:val="center"/>
          </w:tcPr>
          <w:p>
            <w:pPr>
              <w:spacing w:after="0"/>
            </w:pPr>
            <w:r/>
            <w:r>
              <w:rPr>
                <w:rFonts w:ascii="Aptos" w:hAnsi="Aptos"/>
                <w:b w:val="0"/>
                <w:sz w:val="16"/>
              </w:rPr>
              <w:t>FULL LOCKED TEXT</w:t>
            </w:r>
          </w:p>
        </w:tc>
        <w:tc>
          <w:tcPr>
            <w:tcW w:type="dxa" w:w="3120"/>
            <w:vAlign w:val="center"/>
          </w:tcPr>
          <w:p>
            <w:pPr>
              <w:spacing w:after="0"/>
            </w:pPr>
            <w:r/>
            <w:r>
              <w:rPr>
                <w:rFonts w:ascii="Aptos" w:hAnsi="Aptos"/>
                <w:b w:val="0"/>
                <w:sz w:val="16"/>
              </w:rPr>
              <w:t>No truncation, merging, compression, or deletion to reduce cognitive effort.</w:t>
            </w:r>
          </w:p>
        </w:tc>
      </w:tr>
      <w:tr>
        <w:tc>
          <w:tcPr>
            <w:tcW w:type="dxa" w:w="3120"/>
            <w:vAlign w:val="center"/>
            <w:shd w:fill="F3F6F8"/>
          </w:tcPr>
          <w:p>
            <w:pPr>
              <w:spacing w:after="0"/>
            </w:pPr>
            <w:r/>
            <w:r>
              <w:rPr>
                <w:rFonts w:ascii="Aptos" w:hAnsi="Aptos"/>
                <w:b w:val="0"/>
                <w:sz w:val="16"/>
              </w:rPr>
              <w:t>Instruction</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Select the one statement that most accurately describes your franchise today.</w:t>
            </w:r>
          </w:p>
        </w:tc>
      </w:tr>
      <w:tr>
        <w:tc>
          <w:tcPr>
            <w:tcW w:type="dxa" w:w="3120"/>
            <w:vAlign w:val="center"/>
          </w:tcPr>
          <w:p>
            <w:pPr>
              <w:spacing w:after="0"/>
            </w:pPr>
            <w:r/>
            <w:r>
              <w:rPr>
                <w:rFonts w:ascii="Aptos" w:hAnsi="Aptos"/>
                <w:b w:val="0"/>
                <w:sz w:val="16"/>
              </w:rPr>
              <w:t>Randomization</w:t>
            </w:r>
          </w:p>
        </w:tc>
        <w:tc>
          <w:tcPr>
            <w:tcW w:type="dxa" w:w="3120"/>
            <w:vAlign w:val="center"/>
          </w:tcPr>
          <w:p>
            <w:pPr>
              <w:spacing w:after="0"/>
            </w:pPr>
            <w:r/>
            <w:r>
              <w:rPr>
                <w:rFonts w:ascii="Aptos" w:hAnsi="Aptos"/>
                <w:b w:val="0"/>
                <w:sz w:val="16"/>
              </w:rPr>
              <w:t>LOCK</w:t>
            </w:r>
          </w:p>
        </w:tc>
        <w:tc>
          <w:tcPr>
            <w:tcW w:type="dxa" w:w="3120"/>
            <w:vAlign w:val="center"/>
          </w:tcPr>
          <w:p>
            <w:pPr>
              <w:spacing w:after="0"/>
            </w:pPr>
            <w:r/>
            <w:r>
              <w:rPr>
                <w:rFonts w:ascii="Aptos" w:hAnsi="Aptos"/>
                <w:b w:val="0"/>
                <w:sz w:val="16"/>
              </w:rPr>
              <w:t>Generate independently for each question, once per assessment instance; persist that question-specific order for return/revision.</w:t>
            </w:r>
          </w:p>
        </w:tc>
      </w:tr>
      <w:tr>
        <w:tc>
          <w:tcPr>
            <w:tcW w:type="dxa" w:w="3120"/>
            <w:vAlign w:val="center"/>
            <w:shd w:fill="F3F6F8"/>
          </w:tcPr>
          <w:p>
            <w:pPr>
              <w:spacing w:after="0"/>
            </w:pPr>
            <w:r/>
            <w:r>
              <w:rPr>
                <w:rFonts w:ascii="Aptos" w:hAnsi="Aptos"/>
                <w:b w:val="0"/>
                <w:sz w:val="16"/>
              </w:rPr>
              <w:t>Single response</w:t>
            </w:r>
          </w:p>
        </w:tc>
        <w:tc>
          <w:tcPr>
            <w:tcW w:type="dxa" w:w="3120"/>
            <w:vAlign w:val="center"/>
            <w:shd w:fill="F3F6F8"/>
          </w:tcPr>
          <w:p>
            <w:pPr>
              <w:spacing w:after="0"/>
            </w:pPr>
            <w:r/>
            <w:r>
              <w:rPr>
                <w:rFonts w:ascii="Aptos" w:hAnsi="Aptos"/>
                <w:b w:val="0"/>
                <w:sz w:val="16"/>
              </w:rPr>
              <w:t>RETAIN</w:t>
            </w:r>
          </w:p>
        </w:tc>
        <w:tc>
          <w:tcPr>
            <w:tcW w:type="dxa" w:w="3120"/>
            <w:vAlign w:val="center"/>
            <w:shd w:fill="F3F6F8"/>
          </w:tcPr>
          <w:p>
            <w:pPr>
              <w:spacing w:after="0"/>
            </w:pPr>
            <w:r/>
            <w:r>
              <w:rPr>
                <w:rFonts w:ascii="Aptos" w:hAnsi="Aptos"/>
                <w:b w:val="0"/>
                <w:sz w:val="16"/>
              </w:rPr>
              <w:t>One radio group / one committed answer per question; respondent may revise.</w:t>
            </w:r>
          </w:p>
        </w:tc>
      </w:tr>
      <w:tr>
        <w:tc>
          <w:tcPr>
            <w:tcW w:type="dxa" w:w="3120"/>
            <w:vAlign w:val="center"/>
          </w:tcPr>
          <w:p>
            <w:pPr>
              <w:spacing w:after="0"/>
            </w:pPr>
            <w:r/>
            <w:r>
              <w:rPr>
                <w:rFonts w:ascii="Aptos" w:hAnsi="Aptos"/>
                <w:b w:val="0"/>
                <w:sz w:val="16"/>
              </w:rPr>
              <w:t>Scoring and path metadata</w:t>
            </w:r>
          </w:p>
        </w:tc>
        <w:tc>
          <w:tcPr>
            <w:tcW w:type="dxa" w:w="3120"/>
            <w:vAlign w:val="center"/>
          </w:tcPr>
          <w:p>
            <w:pPr>
              <w:spacing w:after="0"/>
            </w:pPr>
            <w:r/>
            <w:r>
              <w:rPr>
                <w:rFonts w:ascii="Aptos" w:hAnsi="Aptos"/>
                <w:b w:val="0"/>
                <w:sz w:val="16"/>
              </w:rPr>
              <w:t>INTERNAL ONLY</w:t>
            </w:r>
          </w:p>
        </w:tc>
        <w:tc>
          <w:tcPr>
            <w:tcW w:type="dxa" w:w="3120"/>
            <w:vAlign w:val="center"/>
          </w:tcPr>
          <w:p>
            <w:pPr>
              <w:spacing w:after="0"/>
            </w:pPr>
            <w:r/>
            <w:r>
              <w:rPr>
                <w:rFonts w:ascii="Aptos" w:hAnsi="Aptos"/>
                <w:b w:val="0"/>
                <w:sz w:val="16"/>
              </w:rPr>
              <w:t>Each displayed statement retains its fixed score and, where relevant, path identity independent of visual position.</w:t>
            </w:r>
          </w:p>
        </w:tc>
      </w:tr>
      <w:tr>
        <w:tc>
          <w:tcPr>
            <w:tcW w:type="dxa" w:w="3120"/>
            <w:vAlign w:val="center"/>
            <w:shd w:fill="F3F6F8"/>
          </w:tcPr>
          <w:p>
            <w:pPr>
              <w:spacing w:after="0"/>
            </w:pPr>
            <w:r/>
            <w:r>
              <w:rPr>
                <w:rFonts w:ascii="Aptos" w:hAnsi="Aptos"/>
                <w:b w:val="0"/>
                <w:sz w:val="16"/>
              </w:rPr>
              <w:t>Response-integrity objective</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Reduce avoidable numeric, label, and positional cueing; do not claim that all maturity-signaling language can be eliminated.</w:t>
            </w:r>
          </w:p>
        </w:tc>
      </w:tr>
    </w:tbl>
    <w:p>
      <w:r>
        <w:t>Usability evidence: a revised prototype using R7 (standard six-response), C2 (nine-response Dual-path), and R6 (dense nine-response Dual-path) removed score numbers, maturity labels, path headings, and grouping. The respondent found the flat presentation visually manageable and no longer experienced the Dual-path cards as multiple questions.</w:t>
      </w:r>
    </w:p>
    <w:p>
      <w:r>
        <w:t>Supersession scope: this section supersedes only the respondent-facing label hierarchy from Gate 2A and the respondent-facing grouping/order/label decisions from Gate 2B. It does not reopen the six-level scoring model, Dual-path equivalence, one-response rule, locked anchors, weighting, N/A architecture, SRI/visibility rules, or composite methodology.</w:t>
      </w:r>
    </w:p>
    <w:p>
      <w:pPr>
        <w:pStyle w:val="Heading2"/>
      </w:pPr>
      <w:r>
        <w:t>7.10 Carryovers from response-presentation closure</w:t>
      </w:r>
    </w:p>
    <w:p>
      <w:pPr>
        <w:pStyle w:val="ListParagraph"/>
      </w:pPr>
      <w:r>
        <w:t>Respondent-language cleanup: B1 Level 3, GE1 Level 3, and MC5 Level 3 contain internal cross-question IDs (B4, GE5, MC2). Replace those bare IDs with respondent-legible scope language while preserving the locked evidentiary boundary; this is wording work, not methodology reopening.</w:t>
      </w:r>
    </w:p>
    <w:p>
      <w:pPr>
        <w:pStyle w:val="ListParagraph"/>
      </w:pPr>
      <w:r>
        <w:t>Visual engagement: after the broader assessment architecture is locked, design the assessment to remain aligned with CarlosUrena.com while using stronger hierarchy, rhythm, progression, and interaction feedback so a substantive assessment does not feel like a monotonous web form.</w:t>
      </w:r>
    </w:p>
    <w:p>
      <w:pPr>
        <w:pStyle w:val="ListParagraph"/>
      </w:pPr>
      <w:r>
        <w:t>The prototype-only label showing the number of test questions / response statements is not a production requirement. Production progress remains seven questions per dimension; whether response-count labels are shown is not needed for respondent orientation.</w:t>
      </w:r>
    </w:p>
    <w:p>
      <w:pPr>
        <w:pStyle w:val="Heading1"/>
        <w:spacing w:after="160" w:before="320"/>
      </w:pPr>
      <w:r>
        <w:t xml:space="preserve">8. Gate 2C - N/A Eligibility and Activation Behavior</w:t>
      </w:r>
    </w:p>
    <w:p>
      <w:pPr>
        <w:spacing w:after="160"/>
      </w:pPr>
      <w:r>
        <w:rPr>
          <w:b/>
          <w:bCs/>
        </w:rPr>
        <w:t xml:space="preserve">STATUS: CLOSED - ONE CARRYOVER TO GATE 2E</w:t>
      </w:r>
    </w:p>
    <w:p>
      <w:pPr>
        <w:spacing w:after="160"/>
      </w:pPr>
      <w:r>
        <w:t xml:space="preserve">Gate 2C designed respondent-facing N/A behavior for the three locked N/A-eligible questions against the corrected source-level finding in Section 5.1: no functioning legacy N/A primitive exists to generalize, so eligibility, activation evidence, and explicit state handling all require new implementation.</w:t>
      </w:r>
    </w:p>
    <w:p>
      <w:pPr>
        <w:pStyle w:val="Heading2"/>
        <w:spacing w:after="120" w:before="240"/>
      </w:pPr>
      <w:r>
        <w:t xml:space="preserve">8.1 Three eligible questions, three distinct factual tests</w:t>
      </w:r>
    </w:p>
    <w:p>
      <w:pPr>
        <w:spacing w:after="160"/>
      </w:pPr>
      <w:r>
        <w:t xml:space="preserve">G4, B2, and B3 are the only N/A-eligible questions under v28. Their structural-absence tests are not interchangeable and must not be treated as one shared test applied three times.</w:t>
      </w:r>
    </w:p>
    <w:p>
      <w:pPr>
        <w:pStyle w:val="ListParagraph"/>
        <w:numPr>
          <w:ilvl w:val="0"/>
          <w:numId w:val="1"/>
        </w:numPr>
        <w:spacing w:after="100"/>
      </w:pPr>
      <w:r>
        <w:t xml:space="preserve">G4: N/A activates only where relevant decision activities operate within one genuinely integrated organizational unit, with no separate functional authority requiring coordination across a boundary. A shared senior executive or common reporting ancestor does not by itself establish this.</w:t>
      </w:r>
    </w:p>
    <w:p>
      <w:pPr>
        <w:pStyle w:val="ListParagraph"/>
        <w:numPr>
          <w:ilvl w:val="0"/>
          <w:numId w:val="1"/>
        </w:numPr>
        <w:spacing w:after="100"/>
      </w:pPr>
      <w:r>
        <w:t xml:space="preserve">B2: N/A activates only where the franchise's product architecture structurally does not generate, hold, or influence client balances, and could not do so without becoming a materially different business. Small balances or low strategic emphasis do not qualify.</w:t>
      </w:r>
    </w:p>
    <w:p>
      <w:pPr>
        <w:pStyle w:val="ListParagraph"/>
        <w:numPr>
          <w:ilvl w:val="0"/>
          <w:numId w:val="1"/>
        </w:numPr>
        <w:spacing w:after="100"/>
      </w:pPr>
      <w:r>
        <w:t xml:space="preserve">B3: uses the same structural fact pattern as B2 but must be evaluated and activated independently. B3 does not inherit B2's N/A state even where identical structural facts support both.</w:t>
      </w:r>
    </w:p>
    <w:p>
      <w:pPr>
        <w:pStyle w:val="Heading2"/>
        <w:spacing w:after="120" w:before="240"/>
      </w:pPr>
      <w:r>
        <w:t xml:space="preserve">8.2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G4, B2, B3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 global N/A availability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as a seventh scale option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outside the 0-5 scale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Bare N/A selection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Free-text rationale as primary evidence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Question-specific structured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Confirmation language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Derive directly from each question's locked v28 eligibility test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Opening the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NON-DESTRUCTIVE - does not alter an existing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Affirming the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Commits N/A and clears any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Cancelling / backing out</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Preserves the prior scored response unchanged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Selecting a 0-5 response after N/A is committed</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Clears N/A and commits the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B2 to B3 inheritance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each activates independently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Explicit tri-state: unanswered / scored / N/A</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numeric coercion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N/A must bypass Number() entirely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Denominator exclusion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against the explicit N/A state, not a numeric guard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Cross-control mutual exclusion (scored radio group vs. N/A control)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custom application state logic; not native browser behavior</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Revealed-but-unconfirmed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Transient UI state only; not a fourth answer state; carried to Gate 2E</w:t>
            </w:r>
          </w:p>
        </w:tc>
      </w:tr>
    </w:tbl>
    <w:p>
      <w:pPr>
        <w:pStyle w:val="Heading2"/>
        <w:spacing w:after="120" w:before="240"/>
      </w:pPr>
      <w:r>
        <w:t xml:space="preserve">8.3 Presentation pattern</w:t>
      </w:r>
    </w:p>
    <w:p>
      <w:pPr>
        <w:spacing w:after="160"/>
      </w:pPr>
      <w:r>
        <w:t xml:space="preserve">The six scored anchors remain the primary radio group, unchanged from the 2A and 2B pattern. Eligible questions alone show a separate, secondary control beneath the scored anchors: 'This condition does not apply to this franchise.' Selecting it reveals the question-specific structural-absence confirmation without altering any existing scored answer. Only affirming that confirmation commits the N/A state and clears the scored response; cancelling preserves the scored response exactly as it stood. Selecting any 0-5 response after N/A has been committed clears N/A and commits the new scored response. Because N/A sits outside the native radio group by design, the application is responsible for this mutual exclusion; the browser does not provide it.</w:t>
      </w:r>
    </w:p>
    <w:p>
      <w:pPr>
        <w:pStyle w:val="Heading2"/>
        <w:spacing w:after="120" w:before="240"/>
      </w:pPr>
      <w:r>
        <w:t xml:space="preserve">8.4 Tri-state vs. transient state</w:t>
      </w:r>
    </w:p>
    <w:p>
      <w:pPr>
        <w:spacing w:after="160"/>
      </w:pPr>
      <w:r>
        <w:t xml:space="preserve">The durable assessment state remains exactly tri-state: unanswered, scored, or N/A. An open-but-unconfirmed confirmation panel is transient UI state, not a fourth answer state. This distinction is deliberate: it prevents Gate 2E from treating the act of opening a confirmation panel as equivalent to answering the question or as evidence of any kind.</w:t>
      </w:r>
    </w:p>
    <w:p>
      <w:pPr>
        <w:pStyle w:val="Heading2"/>
        <w:spacing w:after="120" w:before="240"/>
      </w:pPr>
      <w:r>
        <w:t xml:space="preserve">8.5 Live production defect (non-methodology)</w:t>
      </w:r>
    </w:p>
    <w:p>
      <w:pPr>
        <w:spacing w:after="160"/>
      </w:pPr>
      <w:r>
        <w:t xml:space="preserve">The MR4 N/A path in the current live implementation is a confirmed production defect, independent of the v28 rebuild: selecting 'Not applicable' on MR4 corrupts that pillar's average to NaN, which then corrupts the entire displayed PFI composite through unconditional summation across pillars. This is logged here as a production issue requiring an out-of-band fix, not as part of the Gate 2C architecture, which replaces the mechanism entirely rather than patching it.</w:t>
      </w:r>
    </w:p>
    <w:p>
      <w:pPr>
        <w:pStyle w:val="Heading2"/>
        <w:spacing w:after="120" w:before="240"/>
      </w:pPr>
      <w:r>
        <w:t xml:space="preserve">8.6 Gate 2C conclusion</w:t>
      </w:r>
    </w:p>
    <w:p>
      <w:pPr>
        <w:spacing w:after="160"/>
      </w:pPr>
      <w:r>
        <w:t xml:space="preserve">Gate 2C closes with N/A eligibility, activation evidence, presentation pattern, and explicit tri-state handling all locked. One item carries forward to Gate 2E: how an open-but-unconfirmed N/A confirmation should affect progress and completion presentation, given that it is neither an answer nor a state change. No material methodological conflict was identified. v28 remains frozen.</w:t>
      </w:r>
    </w:p>
    <w:p>
      <w:pPr>
        <w:pStyle w:val="Heading1"/>
        <w:spacing w:after="160" w:before="320"/>
      </w:pPr>
      <w:r>
        <w:t xml:space="preserve">9. Gate 2 Work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2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Sub-gate</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Scope</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2A</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Six-level Capability-only question presentation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level/name hierarchy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2B</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interaction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grouped presentation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2C</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and activation behavior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CLOSED; 2E carryover recorded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Assessment flow, progress, dimension navigation, and 49-question 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t>CLOSED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Response integrity, completion behavior, evidence handoff, revision/persistence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b w:val="0"/>
              </w:rPr>
              <w:t>CLOSED - includes 2E-3D contact/consent/lead-generation contract</w:t>
            </w:r>
          </w:p>
        </w:tc>
      </w:tr>
    </w:tbl>
    <w:p>
      <w:pPr>
        <w:pStyle w:val="Heading1"/>
        <w:spacing w:after="160" w:before="320"/>
      </w:pPr>
      <w:r>
        <w:t>10. Gate 2D Closure - Dimension Navigation &amp; Expansion Behavior</w:t>
      </w:r>
    </w:p>
    <w:p>
      <w:r>
        <w:t>STATUS: CLOSED</w:t>
      </w:r>
    </w:p>
    <w:p>
      <w:r>
        <w:t>Gate 2D closes on a bounded dimension-accordion architecture. The 49-question assessment remains organized as seven dimensions of seven questions each. Full-dimension prototype testing did not establish a need to fragment dimensions into question-by-question pagination or Next/Previous navigation.</w:t>
      </w:r>
    </w:p>
    <w:tbl>
      <w:tblPr>
        <w:tblW w:type="auto" w:w="0"/>
        <w:tblLook w:firstColumn="1" w:firstRow="1" w:lastColumn="0" w:lastRow="0" w:noHBand="0" w:noVBand="1" w:val="04A0"/>
      </w:tblPr>
      <w:tblGrid>
        <w:gridCol w:w="3120"/>
        <w:gridCol w:w="3120"/>
        <w:gridCol w:w="3120"/>
      </w:tblGrid>
      <w:tr>
        <w:tc>
          <w:tcPr>
            <w:tcW w:type="dxa" w:w="3120"/>
          </w:tcPr>
          <w:p>
            <w:r>
              <w:rPr>
                <w:b/>
              </w:rPr>
              <w:t>Element</w:t>
            </w:r>
          </w:p>
        </w:tc>
        <w:tc>
          <w:tcPr>
            <w:tcW w:type="dxa" w:w="3120"/>
          </w:tcPr>
          <w:p>
            <w:r>
              <w:rPr>
                <w:b/>
              </w:rPr>
              <w:t>Gate 2D disposition</w:t>
            </w:r>
          </w:p>
        </w:tc>
        <w:tc>
          <w:tcPr>
            <w:tcW w:type="dxa" w:w="3120"/>
          </w:tcPr>
          <w:p>
            <w:r>
              <w:rPr>
                <w:b/>
              </w:rPr>
              <w:t>Basis / requirement</w:t>
            </w:r>
          </w:p>
        </w:tc>
      </w:tr>
      <w:tr>
        <w:tc>
          <w:tcPr>
            <w:tcW w:type="dxa" w:w="3120"/>
          </w:tcPr>
          <w:p>
            <w:pPr>
              <w:spacing w:after="0"/>
            </w:pPr>
            <w:r>
              <w:t>Seven-dimension structure</w:t>
            </w:r>
          </w:p>
        </w:tc>
        <w:tc>
          <w:tcPr>
            <w:tcW w:type="dxa" w:w="3120"/>
          </w:tcPr>
          <w:p>
            <w:pPr>
              <w:spacing w:after="0"/>
            </w:pPr>
            <w:r>
              <w:t>RETAIN</w:t>
            </w:r>
          </w:p>
        </w:tc>
        <w:tc>
          <w:tcPr>
            <w:tcW w:type="dxa" w:w="3120"/>
          </w:tcPr>
          <w:p>
            <w:pPr>
              <w:spacing w:after="0"/>
            </w:pPr>
            <w:r>
              <w:t>Locked questionnaire architecture.</w:t>
            </w:r>
          </w:p>
        </w:tc>
      </w:tr>
      <w:tr>
        <w:tc>
          <w:tcPr>
            <w:tcW w:type="dxa" w:w="3120"/>
          </w:tcPr>
          <w:p>
            <w:pPr>
              <w:spacing w:after="0"/>
            </w:pPr>
            <w:r>
              <w:t>Seven questions within each dimension</w:t>
            </w:r>
          </w:p>
        </w:tc>
        <w:tc>
          <w:tcPr>
            <w:tcW w:type="dxa" w:w="3120"/>
          </w:tcPr>
          <w:p>
            <w:pPr>
              <w:spacing w:after="0"/>
            </w:pPr>
            <w:r>
              <w:t>RETAIN</w:t>
            </w:r>
          </w:p>
        </w:tc>
        <w:tc>
          <w:tcPr>
            <w:tcW w:type="dxa" w:w="3120"/>
          </w:tcPr>
          <w:p>
            <w:pPr>
              <w:spacing w:after="0"/>
            </w:pPr>
            <w:r>
              <w:t>Prototype did not demonstrate a need to fragment the dimension.</w:t>
            </w:r>
          </w:p>
        </w:tc>
      </w:tr>
      <w:tr>
        <w:tc>
          <w:tcPr>
            <w:tcW w:type="dxa" w:w="3120"/>
          </w:tcPr>
          <w:p>
            <w:pPr>
              <w:spacing w:after="0"/>
            </w:pPr>
            <w:r>
              <w:t>Dimension accordion</w:t>
            </w:r>
          </w:p>
        </w:tc>
        <w:tc>
          <w:tcPr>
            <w:tcW w:type="dxa" w:w="3120"/>
          </w:tcPr>
          <w:p>
            <w:pPr>
              <w:spacing w:after="0"/>
            </w:pPr>
            <w:r>
              <w:t>RETAIN / MODIFY</w:t>
            </w:r>
          </w:p>
        </w:tc>
        <w:tc>
          <w:tcPr>
            <w:tcW w:type="dxa" w:w="3120"/>
          </w:tcPr>
          <w:p>
            <w:pPr>
              <w:spacing w:after="0"/>
            </w:pPr>
            <w:r>
              <w:t>Basic structure survives; navigation behavior changes.</w:t>
            </w:r>
          </w:p>
        </w:tc>
      </w:tr>
      <w:tr>
        <w:tc>
          <w:tcPr>
            <w:tcW w:type="dxa" w:w="3120"/>
          </w:tcPr>
          <w:p>
            <w:pPr>
              <w:spacing w:after="0"/>
            </w:pPr>
            <w:r>
              <w:t>Multiple dimensions open simultaneously</w:t>
            </w:r>
          </w:p>
        </w:tc>
        <w:tc>
          <w:tcPr>
            <w:tcW w:type="dxa" w:w="3120"/>
          </w:tcPr>
          <w:p>
            <w:pPr>
              <w:spacing w:after="0"/>
            </w:pPr>
            <w:r>
              <w:t>REPLACE behavior</w:t>
            </w:r>
          </w:p>
        </w:tc>
        <w:tc>
          <w:tcPr>
            <w:tcW w:type="dxa" w:w="3120"/>
          </w:tcPr>
          <w:p>
            <w:pPr>
              <w:spacing w:after="0"/>
            </w:pPr>
            <w:r>
              <w:t>Avoid unbounded page expansion under denser v28 content.</w:t>
            </w:r>
          </w:p>
        </w:tc>
      </w:tr>
      <w:tr>
        <w:tc>
          <w:tcPr>
            <w:tcW w:type="dxa" w:w="3120"/>
          </w:tcPr>
          <w:p>
            <w:pPr>
              <w:spacing w:after="0"/>
            </w:pPr>
            <w:r>
              <w:t>One active dimension at a time</w:t>
            </w:r>
          </w:p>
        </w:tc>
        <w:tc>
          <w:tcPr>
            <w:tcW w:type="dxa" w:w="3120"/>
          </w:tcPr>
          <w:p>
            <w:pPr>
              <w:spacing w:after="0"/>
            </w:pPr>
            <w:r>
              <w:t>ADD / LOCK</w:t>
            </w:r>
          </w:p>
        </w:tc>
        <w:tc>
          <w:tcPr>
            <w:tcW w:type="dxa" w:w="3120"/>
          </w:tcPr>
          <w:p>
            <w:pPr>
              <w:spacing w:after="0"/>
            </w:pPr>
            <w:r>
              <w:t>Opening a dimension automatically collapses the previously open dimension.</w:t>
            </w:r>
          </w:p>
        </w:tc>
      </w:tr>
      <w:tr>
        <w:tc>
          <w:tcPr>
            <w:tcW w:type="dxa" w:w="3120"/>
          </w:tcPr>
          <w:p>
            <w:pPr>
              <w:spacing w:after="0"/>
            </w:pPr>
            <w:r>
              <w:t>Cross-dimension exclusivity logic</w:t>
            </w:r>
          </w:p>
        </w:tc>
        <w:tc>
          <w:tcPr>
            <w:tcW w:type="dxa" w:w="3120"/>
          </w:tcPr>
          <w:p>
            <w:pPr>
              <w:spacing w:after="0"/>
            </w:pPr>
            <w:r>
              <w:t>ADD</w:t>
            </w:r>
          </w:p>
        </w:tc>
        <w:tc>
          <w:tcPr>
            <w:tcW w:type="dxa" w:w="3120"/>
          </w:tcPr>
          <w:p>
            <w:pPr>
              <w:spacing w:after="0"/>
            </w:pPr>
            <w:r>
              <w:t>Current implementation only toggles the selected dimension.</w:t>
            </w:r>
          </w:p>
        </w:tc>
      </w:tr>
      <w:tr>
        <w:tc>
          <w:tcPr>
            <w:tcW w:type="dxa" w:w="3120"/>
          </w:tcPr>
          <w:p>
            <w:pPr>
              <w:spacing w:after="0"/>
            </w:pPr>
            <w:r>
              <w:t>Existing expansion affordance</w:t>
            </w:r>
          </w:p>
        </w:tc>
        <w:tc>
          <w:tcPr>
            <w:tcW w:type="dxa" w:w="3120"/>
          </w:tcPr>
          <w:p>
            <w:pPr>
              <w:spacing w:after="0"/>
            </w:pPr>
            <w:r>
              <w:t>MODIFY materially</w:t>
            </w:r>
          </w:p>
        </w:tc>
        <w:tc>
          <w:tcPr>
            <w:tcW w:type="dxa" w:w="3120"/>
          </w:tcPr>
          <w:p>
            <w:pPr>
              <w:spacing w:after="0"/>
            </w:pPr>
            <w:r>
              <w:t>Direct usability testing showed expansion was not sufficiently discoverable.</w:t>
            </w:r>
          </w:p>
        </w:tc>
      </w:tr>
      <w:tr>
        <w:tc>
          <w:tcPr>
            <w:tcW w:type="dxa" w:w="3120"/>
          </w:tcPr>
          <w:p>
            <w:pPr>
              <w:spacing w:after="0"/>
            </w:pPr>
            <w:r>
              <w:t>Entire dimension header as open/close control</w:t>
            </w:r>
          </w:p>
        </w:tc>
        <w:tc>
          <w:tcPr>
            <w:tcW w:type="dxa" w:w="3120"/>
          </w:tcPr>
          <w:p>
            <w:pPr>
              <w:spacing w:after="0"/>
            </w:pPr>
            <w:r>
              <w:t>ADD / LOCK</w:t>
            </w:r>
          </w:p>
        </w:tc>
        <w:tc>
          <w:tcPr>
            <w:tcW w:type="dxa" w:w="3120"/>
          </w:tcPr>
          <w:p>
            <w:pPr>
              <w:spacing w:after="0"/>
            </w:pPr>
            <w:r>
              <w:t>Expansion must not depend on discovering a small or ambiguous control.</w:t>
            </w:r>
          </w:p>
        </w:tc>
      </w:tr>
      <w:tr>
        <w:tc>
          <w:tcPr>
            <w:tcW w:type="dxa" w:w="3120"/>
          </w:tcPr>
          <w:p>
            <w:pPr>
              <w:spacing w:after="0"/>
            </w:pPr>
            <w:r>
              <w:t>Explicit open/closed state</w:t>
            </w:r>
          </w:p>
        </w:tc>
        <w:tc>
          <w:tcPr>
            <w:tcW w:type="dxa" w:w="3120"/>
          </w:tcPr>
          <w:p>
            <w:pPr>
              <w:spacing w:after="0"/>
            </w:pPr>
            <w:r>
              <w:t>ADD / LOCK</w:t>
            </w:r>
          </w:p>
        </w:tc>
        <w:tc>
          <w:tcPr>
            <w:tcW w:type="dxa" w:w="3120"/>
          </w:tcPr>
          <w:p>
            <w:pPr>
              <w:spacing w:after="0"/>
            </w:pPr>
            <w:r>
              <w:t>Expandability and current state must be unmistakable.</w:t>
            </w:r>
          </w:p>
        </w:tc>
      </w:tr>
      <w:tr>
        <w:tc>
          <w:tcPr>
            <w:tcW w:type="dxa" w:w="3120"/>
          </w:tcPr>
          <w:p>
            <w:pPr>
              <w:spacing w:after="0"/>
            </w:pPr>
            <w:r>
              <w:t>Local question position</w:t>
            </w:r>
          </w:p>
        </w:tc>
        <w:tc>
          <w:tcPr>
            <w:tcW w:type="dxa" w:w="3120"/>
          </w:tcPr>
          <w:p>
            <w:pPr>
              <w:spacing w:after="0"/>
            </w:pPr>
            <w:r>
              <w:t>RETAIN</w:t>
            </w:r>
          </w:p>
        </w:tc>
        <w:tc>
          <w:tcPr>
            <w:tcW w:type="dxa" w:w="3120"/>
          </w:tcPr>
          <w:p>
            <w:pPr>
              <w:spacing w:after="0"/>
            </w:pPr>
            <w:r>
              <w:t>Question X of 7 provides orientation without exposing scoring.</w:t>
            </w:r>
          </w:p>
        </w:tc>
      </w:tr>
      <w:tr>
        <w:tc>
          <w:tcPr>
            <w:tcW w:type="dxa" w:w="3120"/>
          </w:tcPr>
          <w:p>
            <w:pPr>
              <w:spacing w:after="0"/>
            </w:pPr>
            <w:r>
              <w:t>Collapsed-header progress/status slot</w:t>
            </w:r>
          </w:p>
        </w:tc>
        <w:tc>
          <w:tcPr>
            <w:tcW w:type="dxa" w:w="3120"/>
          </w:tcPr>
          <w:p>
            <w:pPr>
              <w:spacing w:after="0"/>
            </w:pPr>
            <w:r>
              <w:t>ADD / RESERVE</w:t>
            </w:r>
          </w:p>
        </w:tc>
        <w:tc>
          <w:tcPr>
            <w:tcW w:type="dxa" w:w="3120"/>
          </w:tcPr>
          <w:p>
            <w:pPr>
              <w:spacing w:after="0"/>
            </w:pPr>
            <w:r>
              <w:t>Reserve the location; Gate 2E defines what counts as answered.</w:t>
            </w:r>
          </w:p>
        </w:tc>
      </w:tr>
      <w:tr>
        <w:tc>
          <w:tcPr>
            <w:tcW w:type="dxa" w:w="3120"/>
          </w:tcPr>
          <w:p>
            <w:pPr>
              <w:spacing w:after="0"/>
            </w:pPr>
            <w:r>
              <w:t>Dimension weights during assessment</w:t>
            </w:r>
          </w:p>
        </w:tc>
        <w:tc>
          <w:tcPr>
            <w:tcW w:type="dxa" w:w="3120"/>
          </w:tcPr>
          <w:p>
            <w:pPr>
              <w:spacing w:after="0"/>
            </w:pPr>
            <w:r>
              <w:t>REMAIN HIDDEN</w:t>
            </w:r>
          </w:p>
        </w:tc>
        <w:tc>
          <w:tcPr>
            <w:tcW w:type="dxa" w:w="3120"/>
          </w:tcPr>
          <w:p>
            <w:pPr>
              <w:spacing w:after="0"/>
            </w:pPr>
            <w:r>
              <w:t>Preserves response-integrity decision.</w:t>
            </w:r>
          </w:p>
        </w:tc>
      </w:tr>
      <w:tr>
        <w:tc>
          <w:tcPr>
            <w:tcW w:type="dxa" w:w="3120"/>
          </w:tcPr>
          <w:p>
            <w:pPr>
              <w:spacing w:after="0"/>
            </w:pPr>
            <w:r>
              <w:t>Question-by-question pagination</w:t>
            </w:r>
          </w:p>
        </w:tc>
        <w:tc>
          <w:tcPr>
            <w:tcW w:type="dxa" w:w="3120"/>
          </w:tcPr>
          <w:p>
            <w:pPr>
              <w:spacing w:after="0"/>
            </w:pPr>
            <w:r>
              <w:t>REJECT</w:t>
            </w:r>
          </w:p>
        </w:tc>
        <w:tc>
          <w:tcPr>
            <w:tcW w:type="dxa" w:w="3120"/>
          </w:tcPr>
          <w:p>
            <w:pPr>
              <w:spacing w:after="0"/>
            </w:pPr>
            <w:r>
              <w:t>No demonstrated usability failure requiring fragmentation.</w:t>
            </w:r>
          </w:p>
        </w:tc>
      </w:tr>
      <w:tr>
        <w:tc>
          <w:tcPr>
            <w:tcW w:type="dxa" w:w="3120"/>
          </w:tcPr>
          <w:p>
            <w:pPr>
              <w:spacing w:after="0"/>
            </w:pPr>
            <w:r>
              <w:t>Next / Previous question navigation</w:t>
            </w:r>
          </w:p>
        </w:tc>
        <w:tc>
          <w:tcPr>
            <w:tcW w:type="dxa" w:w="3120"/>
          </w:tcPr>
          <w:p>
            <w:pPr>
              <w:spacing w:after="0"/>
            </w:pPr>
            <w:r>
              <w:t>REJECT</w:t>
            </w:r>
          </w:p>
        </w:tc>
        <w:tc>
          <w:tcPr>
            <w:tcW w:type="dxa" w:w="3120"/>
          </w:tcPr>
          <w:p>
            <w:pPr>
              <w:spacing w:after="0"/>
            </w:pPr>
            <w:r>
              <w:t>Unnecessary interaction overhead at this stage.</w:t>
            </w:r>
          </w:p>
        </w:tc>
      </w:tr>
      <w:tr>
        <w:tc>
          <w:tcPr>
            <w:tcW w:type="dxa" w:w="3120"/>
          </w:tcPr>
          <w:p>
            <w:pPr>
              <w:spacing w:after="0"/>
            </w:pPr>
            <w:r>
              <w:t>Committed answers on dimension collapse</w:t>
            </w:r>
          </w:p>
        </w:tc>
        <w:tc>
          <w:tcPr>
            <w:tcW w:type="dxa" w:w="3120"/>
          </w:tcPr>
          <w:p>
            <w:pPr>
              <w:spacing w:after="0"/>
            </w:pPr>
            <w:r>
              <w:t>PRESERVE / LOCK</w:t>
            </w:r>
          </w:p>
        </w:tc>
        <w:tc>
          <w:tcPr>
            <w:tcW w:type="dxa" w:w="3120"/>
          </w:tcPr>
          <w:p>
            <w:pPr>
              <w:spacing w:after="0"/>
            </w:pPr>
            <w:r>
              <w:t>Collapse/reopen must never alter a committed response.</w:t>
            </w:r>
          </w:p>
        </w:tc>
      </w:tr>
      <w:tr>
        <w:tc>
          <w:tcPr>
            <w:tcW w:type="dxa" w:w="3120"/>
          </w:tcPr>
          <w:p>
            <w:pPr>
              <w:spacing w:after="0"/>
            </w:pPr>
            <w:r>
              <w:t>Open-but-unconfirmed N/A panel on dimension change</w:t>
            </w:r>
          </w:p>
        </w:tc>
        <w:tc>
          <w:tcPr>
            <w:tcW w:type="dxa" w:w="3120"/>
          </w:tcPr>
          <w:p>
            <w:pPr>
              <w:spacing w:after="0"/>
            </w:pPr>
            <w:r>
              <w:t>DISCARD TRANSIENT UI STATE</w:t>
            </w:r>
          </w:p>
        </w:tc>
        <w:tc>
          <w:tcPr>
            <w:tcW w:type="dxa" w:w="3120"/>
          </w:tcPr>
          <w:p>
            <w:pPr>
              <w:spacing w:after="0"/>
            </w:pPr>
            <w:r>
              <w:t>Close the unconfirmed panel; preserve the last committed answer.</w:t>
            </w:r>
          </w:p>
        </w:tc>
      </w:tr>
      <w:tr>
        <w:tc>
          <w:tcPr>
            <w:tcW w:type="dxa" w:w="3120"/>
          </w:tcPr>
          <w:p>
            <w:pPr>
              <w:spacing w:after="0"/>
            </w:pPr>
            <w:r>
              <w:t>Sticky dimension header</w:t>
            </w:r>
          </w:p>
        </w:tc>
        <w:tc>
          <w:tcPr>
            <w:tcW w:type="dxa" w:w="3120"/>
          </w:tcPr>
          <w:p>
            <w:pPr>
              <w:spacing w:after="0"/>
            </w:pPr>
            <w:r>
              <w:t>NOT REQUIRED AT ARCHITECTURE LEVEL</w:t>
            </w:r>
          </w:p>
        </w:tc>
        <w:tc>
          <w:tcPr>
            <w:tcW w:type="dxa" w:w="3120"/>
          </w:tcPr>
          <w:p>
            <w:pPr>
              <w:spacing w:after="0"/>
            </w:pPr>
            <w:r>
              <w:t>Evidence does not justify making it mandatory; visual-design validation may reintroduce it.</w:t>
            </w:r>
          </w:p>
        </w:tc>
      </w:tr>
    </w:tbl>
    <w:p>
      <w:r>
        <w:t>Expansion discoverability principle: A respondent should not have to infer that a dimension is expandable from a small icon or subtle styling. The entire dimension header is the navigation control and must clearly communicate both expandability and current open/closed state. Exact visual treatment remains deferred.</w:t>
      </w:r>
    </w:p>
    <w:p>
      <w:r>
        <w:t>Progress boundary: Gate 2D reserves a dimension-level progress/status location in both collapsed and expanded states. Gate 2E owns the definition of answered, including scored responses, committed N/A responses, unanswered questions, and transient N/A-confirmation state.</w:t>
      </w:r>
    </w:p>
    <w:p>
      <w:r>
        <w:t>N/A transient-state interaction: If an N/A confirmation panel on G4, B2, or B3 is open but unconfirmed when another dimension is opened, that transient panel is discarded. The respondent's last committed answer remains unchanged.</w:t>
      </w:r>
    </w:p>
    <w:p>
      <w:r>
        <w:t>Sticky-header evidence qualification: Earlier analytical density estimates projected approximately 6,300-6,700px of expanded content for the prototype dimensions, while direct usability testing found the scrolling burden manageable and did not identify loss of orientation. Those observations do not fully reconcile. Gate 2D therefore does not conclude that a sticky dimension header is unnecessary; it concludes only that current evidence does not justify making one an architectural requirement.</w:t>
      </w:r>
    </w:p>
    <w:p>
      <w:r>
        <w:t>What Gate 2D does not change: the locked six-level scoring model, randomized response architecture, hidden score/level/path metadata, Dual-path equivalence, N/A eligibility, weighting, SRI/Universal Low-Score Visibility, Section 61 composite methodology, and questionnaire content remain unchanged.</w:t>
      </w:r>
    </w:p>
    <w:p>
      <w:r>
        <w:t>Gate 2D conclusion: The dimension accordion survives as a deliberate navigation system: seven bounded dimensions, one open at a time, full-header interaction, unmistakable expansion state, preserved committed answers, and a reserved dimension-progress location whose semantics are deferred to Gate 2E.</w:t>
      </w:r>
    </w:p>
    <w:p>
      <w:pPr>
        <w:pStyle w:val="Heading1"/>
      </w:pPr>
      <w:r>
        <w:t>11. Gate 2E - Progress, Completion, Persistence &amp; Continuity</w:t>
      </w:r>
    </w:p>
    <w:p>
      <w:r>
        <w:rPr>
          <w:b/>
        </w:rPr>
        <w:t>STATUS: CLOSED</w:t>
      </w:r>
    </w:p>
    <w:p>
      <w:r>
        <w:rPr>
          <w:b w:val="0"/>
        </w:rPr>
        <w:t>Gate 2E closes the response-integrity, progress/completion, evidence-handoff, revision, persistence, resume, recoverable-continuity, and reminder-consent requirements for the assessment interaction. The gate defines state and experience behavior only; Section 60 and Section 61 scoring/composite rules remain read-only.</w:t>
      </w:r>
    </w:p>
    <w:p>
      <w:r>
        <w:t>11.1 Canonical Question State Model &amp; Transitions</w:t>
      </w:r>
    </w:p>
    <w:p>
      <w:r>
        <w:rPr>
          <w:b w:val="0"/>
        </w:rPr>
        <w:t>Each question has exactly one committed evidence state: Unanswered, Scored, or confirmed N/A. Transient UI activity, including an open but unconfirmed N/A panel, is not a fourth evidence state and never replaces the last committed state until confirmation.</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Committed state</w:t>
            </w:r>
          </w:p>
        </w:tc>
        <w:tc>
          <w:tcPr>
            <w:tcW w:type="dxa" w:w="2340"/>
          </w:tcPr>
          <w:p>
            <w:r>
              <w:rPr>
                <w:b/>
              </w:rPr>
              <w:t>Numeric score</w:t>
            </w:r>
          </w:p>
        </w:tc>
        <w:tc>
          <w:tcPr>
            <w:tcW w:type="dxa" w:w="2340"/>
          </w:tcPr>
          <w:p>
            <w:r>
              <w:rPr>
                <w:b/>
              </w:rPr>
              <w:t>Counts as scored evidence</w:t>
            </w:r>
          </w:p>
        </w:tc>
        <w:tc>
          <w:tcPr>
            <w:tcW w:type="dxa" w:w="2340"/>
          </w:tcPr>
          <w:p>
            <w:r>
              <w:rPr>
                <w:b/>
              </w:rPr>
              <w:t>Eligible for 0-1 visibility</w:t>
            </w:r>
          </w:p>
        </w:tc>
      </w:tr>
      <w:tr>
        <w:tc>
          <w:tcPr>
            <w:tcW w:type="dxa" w:w="2340"/>
          </w:tcPr>
          <w:p>
            <w:pPr>
              <w:spacing w:after="0"/>
            </w:pPr>
            <w:r>
              <w:t>Unanswered</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r>
        <w:tc>
          <w:tcPr>
            <w:tcW w:type="dxa" w:w="2340"/>
          </w:tcPr>
          <w:p>
            <w:pPr>
              <w:spacing w:after="0"/>
            </w:pPr>
            <w:r>
              <w:t>Scored</w:t>
            </w:r>
          </w:p>
        </w:tc>
        <w:tc>
          <w:tcPr>
            <w:tcW w:type="dxa" w:w="2340"/>
          </w:tcPr>
          <w:p>
            <w:pPr>
              <w:spacing w:after="0"/>
            </w:pPr>
            <w:r>
              <w:t>0-5</w:t>
            </w:r>
          </w:p>
        </w:tc>
        <w:tc>
          <w:tcPr>
            <w:tcW w:type="dxa" w:w="2340"/>
          </w:tcPr>
          <w:p>
            <w:pPr>
              <w:spacing w:after="0"/>
            </w:pPr>
            <w:r>
              <w:t>Yes</w:t>
            </w:r>
          </w:p>
        </w:tc>
        <w:tc>
          <w:tcPr>
            <w:tcW w:type="dxa" w:w="2340"/>
          </w:tcPr>
          <w:p>
            <w:pPr>
              <w:spacing w:after="0"/>
            </w:pPr>
            <w:r>
              <w:t>Yes, when score is 0 or 1</w:t>
            </w:r>
          </w:p>
        </w:tc>
      </w:tr>
      <w:tr>
        <w:tc>
          <w:tcPr>
            <w:tcW w:type="dxa" w:w="2340"/>
          </w:tcPr>
          <w:p>
            <w:pPr>
              <w:spacing w:after="0"/>
            </w:pPr>
            <w:r>
              <w:t>Confirmed N/A</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bl>
    <w:p>
      <w:r>
        <w:rPr>
          <w:b w:val="0"/>
        </w:rPr>
        <w:t>Valid transitions: Unanswered-&gt;Scored; Scored-&gt;different Scored; Unanswered-&gt;confirmed N/A; Scored-&gt;confirmed N/A; N/A-&gt;Scored; Scored-&gt;open N/A-&gt;cancel=Scored; Unanswered-&gt;open N/A-&gt;cancel=Unanswered; N/A-&gt;open N/A-&gt;cancel=N/A.</w:t>
      </w:r>
    </w:p>
    <w:p>
      <w:r>
        <w:rPr>
          <w:b w:val="0"/>
        </w:rPr>
        <w:t>Per-question clear-to-blank is not supported. A committed response can be replaced by another valid committed state, but only a deliberate global/new-assessment reset can clear committed work.</w:t>
      </w:r>
    </w:p>
    <w:p>
      <w:r>
        <w:rPr>
          <w:b w:val="0"/>
        </w:rPr>
        <w:t>Completion monotonicity invariant: within one assessment instance, assessment_status cannot regress from Complete to In Progress through any legitimate respondent action because no transition reduces the number of committed questions. Concurrent-state protection must therefore prevent stale-tab or stale-device writes from violating this invariant.</w:t>
      </w:r>
    </w:p>
    <w:p>
      <w:r>
        <w:t>11.2 Progress, Completion &amp; Evidence Sufficiency</w:t>
      </w:r>
    </w:p>
    <w:p>
      <w:r>
        <w:rPr>
          <w:b w:val="0"/>
        </w:rPr>
        <w:t>Respondent-facing progress uses the term Complete rather than Answered. A question is Complete when it is Scored or confirmed N/A. A dimension is Complete at 7 of 7 committed question states. Assessment progress is based on committed work, not on numeric evidence sufficiency.</w:t>
      </w:r>
    </w:p>
    <w:p>
      <w:r>
        <w:rPr>
          <w:b w:val="0"/>
        </w:rPr>
        <w:t>Dimension progress = committed questions / 7. The reserved Gate 2D header slot therefore reports factual completion such as '3 of 7 complete' rather than '3 answered'. Confirmed N/A counts as completed respondent work but not as scored evidence.</w:t>
      </w:r>
    </w:p>
    <w:p>
      <w:r>
        <w:rPr>
          <w:b w:val="0"/>
        </w:rPr>
        <w:t>Evidence sufficiency remains a separate internal state governed by Section 60: at least four of the original seven questions must be applicable and scored. N/A does not shrink the four-of-seven floor. Insufficient Basis remains representable mid-assessment but is not used as progress feedback, and under the current locked N/A eligibility set it is unreachable at 49/49 completion.</w:t>
      </w:r>
    </w:p>
    <w:p>
      <w:r>
        <w:rPr>
          <w:b w:val="0"/>
        </w:rPr>
        <w:t>Evidence sufficiency may move backward while the assessment is still editable, for example if a Scored answer is legitimately revised to N/A. Progress remains monotonic because both Scored and confirmed N/A are committed Complete states.</w:t>
      </w:r>
    </w:p>
    <w:p>
      <w:r>
        <w:t>11.3 Assessment Completion &amp; Results Gating</w:t>
      </w:r>
    </w:p>
    <w:p>
      <w:r>
        <w:rPr>
          <w:b w:val="0"/>
        </w:rPr>
        <w:t>Assessment Complete = 49 of 49 questions in a committed Scored or confirmed N/A state. Respondent-facing results are not exposed before assessment completion even if Sections 60-61 would mathematically permit a composite earlier.</w:t>
      </w:r>
    </w:p>
    <w:p>
      <w:r>
        <w:rPr>
          <w:b w:val="0"/>
        </w:rPr>
        <w:t>Under the current locked N/A architecture (G4, B2, and B3 only), 49/49 completion necessarily clears the Section 60 floor in all seven dimensions. Governance retains at least 6 scored questions, Balance Sheet at least 5, and the other five dimensions 7. Accordingly, a completed current PFI assessment necessarily produces the Standard PFI Composite.</w:t>
      </w:r>
    </w:p>
    <w:p>
      <w:r>
        <w:rPr>
          <w:b w:val="0"/>
        </w:rPr>
        <w:t>Adjusted Composite and composite-unavailable branches remain valid Section 61 methodology but are unreachable post-completion under the current questionnaire. This reachability conclusion must be revalidated if N/A eligibility expands or the completion/result-gating rule changes.</w:t>
      </w:r>
    </w:p>
    <w:p>
      <w:r>
        <w:t>11.4 Persistence Contract &amp; Continuity Requirements</w:t>
      </w:r>
    </w:p>
    <w:p>
      <w:r>
        <w:rPr>
          <w:b w:val="0"/>
        </w:rPr>
        <w:t>PFI must preserve committed question state, the stable identity of the selected response statement, and each question's independently randomized display order. Response identity is persisted by stable statement identifier, not by randomized position, because Dual-path alternatives may share the same numeric score.</w:t>
      </w:r>
    </w:p>
    <w:p>
      <w:r>
        <w:rPr>
          <w:b w:val="0"/>
        </w:rPr>
        <w:t>Opening a dimension renders all seven questions in that dimension. The first time a dimension is opened, the response order for each of its seven questions is independently generated and immediately persisted. No viewport/scroll-triggered generation is required.</w:t>
      </w:r>
    </w:p>
    <w:p>
      <w:r>
        <w:rPr>
          <w:b w:val="0"/>
        </w:rPr>
        <w:t>Derived progress values are recalculated from canonical question state rather than stored as authoritative data. Open N/A confirmation panels and other uncommitted transient UI state are not persisted.</w:t>
      </w:r>
    </w:p>
    <w:p>
      <w:r>
        <w:rPr>
          <w:b w:val="0"/>
        </w:rPr>
        <w:t>Anonymous progress must survive full browser closure and later reopening; session-only storage is therefore insufficient. PFI must not silently overwrite newer committed work with stale state from another tab/device. Any recoverable cross-device continuity mechanism must carry the same complete persistence contract, including randomized order, not an answers-only subset.</w:t>
      </w:r>
    </w:p>
    <w:p>
      <w:r>
        <w:t>11.5 Resume Experience</w:t>
      </w:r>
    </w:p>
    <w:p>
      <w:r>
        <w:rPr>
          <w:b w:val="0"/>
        </w:rPr>
        <w:t>Resuming PFI continues the same assessment instance rather than creating a new session. For an In Progress assessment, Continue routes to the first incomplete question in canonical dimension/question order; literal scroll position and most-recently-touched position are not persisted.</w:t>
      </w:r>
    </w:p>
    <w:p>
      <w:r>
        <w:rPr>
          <w:b w:val="0"/>
        </w:rPr>
        <w:t>For a Complete assessment, Continue routes directly to the completed results experience. Results-viewed status is not part of canonical assessment state.</w:t>
      </w:r>
    </w:p>
    <w:p>
      <w:r>
        <w:rPr>
          <w:b w:val="0"/>
        </w:rPr>
        <w:t>Resume messaging reports factual progress only (for example, '35 of 49 complete' or '48 of 49 complete') and does not communicate scoring readiness. The same routing model applies regardless of elapsed time and when the same full assessment instance is recovered on another device.</w:t>
      </w:r>
    </w:p>
    <w:p>
      <w:r>
        <w:rPr>
          <w:b w:val="0"/>
        </w:rPr>
        <w:t>Saving is automatic; no respondent-facing Save button is required. Starting a new assessment while an unfinished one exists is a deliberate secondary action with confirmation because it destroys or supersedes persisted progress.</w:t>
      </w:r>
    </w:p>
    <w:p>
      <w:r>
        <w:t>11.6 Optional Recovery &amp; Reminder Consent</w:t>
      </w:r>
    </w:p>
    <w:p>
      <w:r>
        <w:rPr>
          <w:b w:val="0"/>
        </w:rPr>
        <w:t>Recovery identity, continuation communication, and reminder permission are separate constructs. Contact information is not required to start or complete PFI. Anonymous durable continuity is required. Optional recoverable continuity beyond the original browser/device must be available as a respondent choice.</w:t>
      </w:r>
    </w:p>
    <w:p>
      <w:r>
        <w:rPr>
          <w:b w:val="0"/>
        </w:rPr>
        <w:t>Recovery does not imply reminder consent. Reminders require separate explicit opt-in. Recovery contact information is not used for unrelated marketing by default, and declining recovery or reminders must not affect assessment access, scoring, or output.</w:t>
      </w:r>
    </w:p>
    <w:p>
      <w:r>
        <w:rPr>
          <w:b w:val="0"/>
        </w:rPr>
        <w:t>Continuity metadata and communication consent remain outside canonical assessment evidence state and do not affect scoring.</w:t>
      </w:r>
    </w:p>
    <w:p>
      <w:r>
        <w:rPr>
          <w:b w:val="0"/>
        </w:rPr>
        <w:t>Gate 1 privacy-copy dependency: the prior 'No data stored / Browser session only' statement requires scoped revision after implementation architecture is selected. Anonymous persistence must survive browser closure, but whether anonymous state remains entirely on-device or is stored server-side is still open. Final privacy wording must also reflect the chosen recoverable-continuity channel.</w:t>
      </w:r>
    </w:p>
    <w:p>
      <w:r>
        <w:rPr>
          <w:b w:val="0"/>
        </w:rPr>
        <w:t>Retention/expiry for abandoned assessment instances remains an implementation dependency tied to the on-device-versus-server persistence decision.</w:t>
      </w:r>
    </w:p>
    <w:p>
      <w:pPr>
        <w:pStyle w:val="Heading2"/>
      </w:pPr>
      <w:r>
        <w:t>11.7 Contact Capture, Consent &amp; Lead-Generation Contract</w:t>
      </w:r>
    </w:p>
    <w:p>
      <w:r>
        <w:rPr>
          <w:b/>
        </w:rPr>
        <w:t>STATUS:</w:t>
      </w:r>
      <w:r>
        <w:t xml:space="preserve"> CLOSED</w:t>
      </w:r>
    </w:p>
    <w:p>
      <w:r>
        <w:t>PFI remains fully usable without identity or contact information. Name, email, phone number, company, or other identifying data is not required to start, continue, complete, score, or receive the standard PFI output. Optional contact capture is permitted only as a respondent-elected continuity and relationship feature, never as a results gate.</w:t>
      </w:r>
    </w:p>
    <w:p>
      <w:r>
        <w:t>Lead-generation objective: PFI may create permissioned commercial opportunities by allowing respondents to identify themselves voluntarily and elect further communication, without making identification or commercial consent a condition of assessment access, completion, scoring, or standard output. Assessment value remains primary; permissioned prospect generation is a secondary product objective.</w:t>
      </w:r>
    </w:p>
    <w:tbl>
      <w:tblPr>
        <w:tblW w:type="auto" w:w="0"/>
        <w:tblLook w:firstColumn="1" w:firstRow="1" w:lastColumn="0" w:lastRow="0" w:noHBand="0" w:noVBand="1" w:val="04A0"/>
      </w:tblPr>
      <w:tblGrid>
        <w:gridCol w:w="3120"/>
        <w:gridCol w:w="3120"/>
        <w:gridCol w:w="3120"/>
      </w:tblGrid>
      <w:tr>
        <w:tc>
          <w:tcPr>
            <w:tcW w:type="dxa" w:w="3120"/>
          </w:tcPr>
          <w:p>
            <w:pPr>
              <w:spacing w:after="0"/>
            </w:pPr>
            <w:r/>
            <w:r>
              <w:rPr>
                <w:b/>
              </w:rPr>
              <w:t>Element</w:t>
            </w:r>
          </w:p>
        </w:tc>
        <w:tc>
          <w:tcPr>
            <w:tcW w:type="dxa" w:w="3120"/>
          </w:tcPr>
          <w:p>
            <w:pPr>
              <w:spacing w:after="0"/>
            </w:pPr>
            <w:r/>
            <w:r>
              <w:rPr>
                <w:b/>
              </w:rPr>
              <w:t>Locked decision</w:t>
            </w:r>
          </w:p>
        </w:tc>
        <w:tc>
          <w:tcPr>
            <w:tcW w:type="dxa" w:w="3120"/>
          </w:tcPr>
          <w:p>
            <w:pPr>
              <w:spacing w:after="0"/>
            </w:pPr>
            <w:r/>
            <w:r>
              <w:rPr>
                <w:b/>
              </w:rPr>
              <w:t>Scope / requirement</w:t>
            </w:r>
          </w:p>
        </w:tc>
      </w:tr>
      <w:tr>
        <w:tc>
          <w:tcPr>
            <w:tcW w:type="dxa" w:w="3120"/>
          </w:tcPr>
          <w:p>
            <w:pPr>
              <w:spacing w:after="0"/>
            </w:pPr>
            <w:r/>
            <w:r>
              <w:rPr>
                <w:b w:val="0"/>
              </w:rPr>
              <w:t>Anonymous assessment</w:t>
            </w:r>
          </w:p>
        </w:tc>
        <w:tc>
          <w:tcPr>
            <w:tcW w:type="dxa" w:w="3120"/>
          </w:tcPr>
          <w:p>
            <w:pPr>
              <w:spacing w:after="0"/>
            </w:pPr>
            <w:r/>
            <w:r>
              <w:rPr>
                <w:b w:val="0"/>
              </w:rPr>
              <w:t>RETAIN / REQUIRE</w:t>
            </w:r>
          </w:p>
        </w:tc>
        <w:tc>
          <w:tcPr>
            <w:tcW w:type="dxa" w:w="3120"/>
          </w:tcPr>
          <w:p>
            <w:pPr>
              <w:spacing w:after="0"/>
            </w:pPr>
            <w:r/>
            <w:r>
              <w:rPr>
                <w:b w:val="0"/>
              </w:rPr>
              <w:t>PFI can be completed and results received without contact information.</w:t>
            </w:r>
          </w:p>
        </w:tc>
      </w:tr>
      <w:tr>
        <w:tc>
          <w:tcPr>
            <w:tcW w:type="dxa" w:w="3120"/>
          </w:tcPr>
          <w:p>
            <w:pPr>
              <w:spacing w:after="0"/>
            </w:pPr>
            <w:r/>
            <w:r>
              <w:rPr>
                <w:b w:val="0"/>
              </w:rPr>
              <w:t>Recoverable continuity</w:t>
            </w:r>
          </w:p>
        </w:tc>
        <w:tc>
          <w:tcPr>
            <w:tcW w:type="dxa" w:w="3120"/>
          </w:tcPr>
          <w:p>
            <w:pPr>
              <w:spacing w:after="0"/>
            </w:pPr>
            <w:r/>
            <w:r>
              <w:rPr>
                <w:b w:val="0"/>
              </w:rPr>
              <w:t>OPTIONAL CAPABILITY - REQUIRE PRODUCT SUPPORT</w:t>
            </w:r>
          </w:p>
        </w:tc>
        <w:tc>
          <w:tcPr>
            <w:tcW w:type="dxa" w:w="3120"/>
          </w:tcPr>
          <w:p>
            <w:pPr>
              <w:spacing w:after="0"/>
            </w:pPr>
            <w:r/>
            <w:r>
              <w:rPr>
                <w:b w:val="0"/>
              </w:rPr>
              <w:t>Respondent may elect cross-device / recoverable continuity; email is the initial recovery identity for this architecture.</w:t>
            </w:r>
          </w:p>
        </w:tc>
      </w:tr>
      <w:tr>
        <w:tc>
          <w:tcPr>
            <w:tcW w:type="dxa" w:w="3120"/>
          </w:tcPr>
          <w:p>
            <w:pPr>
              <w:spacing w:after="0"/>
            </w:pPr>
            <w:r/>
            <w:r>
              <w:rPr>
                <w:b w:val="0"/>
              </w:rPr>
              <w:t>Recovery linkage</w:t>
            </w:r>
          </w:p>
        </w:tc>
        <w:tc>
          <w:tcPr>
            <w:tcW w:type="dxa" w:w="3120"/>
          </w:tcPr>
          <w:p>
            <w:pPr>
              <w:spacing w:after="0"/>
            </w:pPr>
            <w:r/>
            <w:r>
              <w:rPr>
                <w:b w:val="0"/>
              </w:rPr>
              <w:t>ASSESSMENT-SPECIFIC</w:t>
            </w:r>
          </w:p>
        </w:tc>
        <w:tc>
          <w:tcPr>
            <w:tcW w:type="dxa" w:w="3120"/>
          </w:tcPr>
          <w:p>
            <w:pPr>
              <w:spacing w:after="0"/>
            </w:pPr>
            <w:r/>
            <w:r>
              <w:rPr>
                <w:b w:val="0"/>
              </w:rPr>
              <w:t>A recovery identity links to a particular assessment instance and carries the full persistence contract, not an answers-only subset.</w:t>
            </w:r>
          </w:p>
        </w:tc>
      </w:tr>
      <w:tr>
        <w:tc>
          <w:tcPr>
            <w:tcW w:type="dxa" w:w="3120"/>
          </w:tcPr>
          <w:p>
            <w:pPr>
              <w:spacing w:after="0"/>
            </w:pPr>
            <w:r/>
            <w:r>
              <w:rPr>
                <w:b w:val="0"/>
              </w:rPr>
              <w:t>Completion reminders</w:t>
            </w:r>
          </w:p>
        </w:tc>
        <w:tc>
          <w:tcPr>
            <w:tcW w:type="dxa" w:w="3120"/>
          </w:tcPr>
          <w:p>
            <w:pPr>
              <w:spacing w:after="0"/>
            </w:pPr>
            <w:r/>
            <w:r>
              <w:rPr>
                <w:b w:val="0"/>
              </w:rPr>
              <w:t>ASSESSMENT-SPECIFIC OPT-IN</w:t>
            </w:r>
          </w:p>
        </w:tc>
        <w:tc>
          <w:tcPr>
            <w:tcW w:type="dxa" w:w="3120"/>
          </w:tcPr>
          <w:p>
            <w:pPr>
              <w:spacing w:after="0"/>
            </w:pPr>
            <w:r/>
            <w:r>
              <w:rPr>
                <w:b w:val="0"/>
              </w:rPr>
              <w:t>Reminder permission applies to a specific unfinished assessment and terminates at 49/49 completion.</w:t>
            </w:r>
          </w:p>
        </w:tc>
      </w:tr>
      <w:tr>
        <w:tc>
          <w:tcPr>
            <w:tcW w:type="dxa" w:w="3120"/>
          </w:tcPr>
          <w:p>
            <w:pPr>
              <w:spacing w:after="0"/>
            </w:pPr>
            <w:r/>
            <w:r>
              <w:rPr>
                <w:b w:val="0"/>
              </w:rPr>
              <w:t>Professional / commercial follow-up</w:t>
            </w:r>
          </w:p>
        </w:tc>
        <w:tc>
          <w:tcPr>
            <w:tcW w:type="dxa" w:w="3120"/>
          </w:tcPr>
          <w:p>
            <w:pPr>
              <w:spacing w:after="0"/>
            </w:pPr>
            <w:r/>
            <w:r>
              <w:rPr>
                <w:b w:val="0"/>
              </w:rPr>
              <w:t>CONTACT-LEVEL OPT-IN</w:t>
            </w:r>
          </w:p>
        </w:tc>
        <w:tc>
          <w:tcPr>
            <w:tcW w:type="dxa" w:w="3120"/>
          </w:tcPr>
          <w:p>
            <w:pPr>
              <w:spacing w:after="0"/>
            </w:pPr>
            <w:r/>
            <w:r>
              <w:rPr>
                <w:b w:val="0"/>
              </w:rPr>
              <w:t>Permission applies to the ongoing relationship with the contact and may include occasional payments/PFI insights and direct personal follow-up from Carlos Ureña Payments Strategy.</w:t>
            </w:r>
          </w:p>
        </w:tc>
      </w:tr>
      <w:tr>
        <w:tc>
          <w:tcPr>
            <w:tcW w:type="dxa" w:w="3120"/>
          </w:tcPr>
          <w:p>
            <w:pPr>
              <w:spacing w:after="0"/>
            </w:pPr>
            <w:r/>
            <w:r>
              <w:rPr>
                <w:b w:val="0"/>
              </w:rPr>
              <w:t>Recovery implies reminder consent</w:t>
            </w:r>
          </w:p>
        </w:tc>
        <w:tc>
          <w:tcPr>
            <w:tcW w:type="dxa" w:w="3120"/>
          </w:tcPr>
          <w:p>
            <w:pPr>
              <w:spacing w:after="0"/>
            </w:pPr>
            <w:r/>
            <w:r>
              <w:rPr>
                <w:b w:val="0"/>
              </w:rPr>
              <w:t>REJECT</w:t>
            </w:r>
          </w:p>
        </w:tc>
        <w:tc>
          <w:tcPr>
            <w:tcW w:type="dxa" w:w="3120"/>
          </w:tcPr>
          <w:p>
            <w:pPr>
              <w:spacing w:after="0"/>
            </w:pPr>
            <w:r/>
            <w:r>
              <w:rPr>
                <w:b w:val="0"/>
              </w:rPr>
              <w:t>Recovery and reminder permission are separate choices.</w:t>
            </w:r>
          </w:p>
        </w:tc>
      </w:tr>
      <w:tr>
        <w:tc>
          <w:tcPr>
            <w:tcW w:type="dxa" w:w="3120"/>
          </w:tcPr>
          <w:p>
            <w:pPr>
              <w:spacing w:after="0"/>
            </w:pPr>
            <w:r/>
            <w:r>
              <w:rPr>
                <w:b w:val="0"/>
              </w:rPr>
              <w:t>Recovery implies commercial consent</w:t>
            </w:r>
          </w:p>
        </w:tc>
        <w:tc>
          <w:tcPr>
            <w:tcW w:type="dxa" w:w="3120"/>
          </w:tcPr>
          <w:p>
            <w:pPr>
              <w:spacing w:after="0"/>
            </w:pPr>
            <w:r/>
            <w:r>
              <w:rPr>
                <w:b w:val="0"/>
              </w:rPr>
              <w:t>REJECT</w:t>
            </w:r>
          </w:p>
        </w:tc>
        <w:tc>
          <w:tcPr>
            <w:tcW w:type="dxa" w:w="3120"/>
          </w:tcPr>
          <w:p>
            <w:pPr>
              <w:spacing w:after="0"/>
            </w:pPr>
            <w:r/>
            <w:r>
              <w:rPr>
                <w:b w:val="0"/>
              </w:rPr>
              <w:t>Recovery cannot be used to bundle or obscure professional/commercial permission.</w:t>
            </w:r>
          </w:p>
        </w:tc>
      </w:tr>
      <w:tr>
        <w:tc>
          <w:tcPr>
            <w:tcW w:type="dxa" w:w="3120"/>
          </w:tcPr>
          <w:p>
            <w:pPr>
              <w:spacing w:after="0"/>
            </w:pPr>
            <w:r/>
            <w:r>
              <w:rPr>
                <w:b w:val="0"/>
              </w:rPr>
              <w:t>Contact declining optional permissions</w:t>
            </w:r>
          </w:p>
        </w:tc>
        <w:tc>
          <w:tcPr>
            <w:tcW w:type="dxa" w:w="3120"/>
          </w:tcPr>
          <w:p>
            <w:pPr>
              <w:spacing w:after="0"/>
            </w:pPr>
            <w:r/>
            <w:r>
              <w:rPr>
                <w:b w:val="0"/>
              </w:rPr>
              <w:t>NO PRODUCT PENALTY</w:t>
            </w:r>
          </w:p>
        </w:tc>
        <w:tc>
          <w:tcPr>
            <w:tcW w:type="dxa" w:w="3120"/>
          </w:tcPr>
          <w:p>
            <w:pPr>
              <w:spacing w:after="0"/>
            </w:pPr>
            <w:r/>
            <w:r>
              <w:rPr>
                <w:b w:val="0"/>
              </w:rPr>
              <w:t>Declining identity, recovery, reminders, or commercial follow-up cannot affect assessment access, scoring, or standard output.</w:t>
            </w:r>
          </w:p>
        </w:tc>
      </w:tr>
      <w:tr>
        <w:tc>
          <w:tcPr>
            <w:tcW w:type="dxa" w:w="3120"/>
          </w:tcPr>
          <w:p>
            <w:pPr>
              <w:spacing w:after="0"/>
            </w:pPr>
            <w:r/>
            <w:r>
              <w:rPr>
                <w:b w:val="0"/>
              </w:rPr>
              <w:t>Contact capture timing</w:t>
            </w:r>
          </w:p>
        </w:tc>
        <w:tc>
          <w:tcPr>
            <w:tcW w:type="dxa" w:w="3120"/>
          </w:tcPr>
          <w:p>
            <w:pPr>
              <w:spacing w:after="0"/>
            </w:pPr>
            <w:r/>
            <w:r>
              <w:rPr>
                <w:b w:val="0"/>
              </w:rPr>
              <w:t>AFTER MEANINGFUL PROGRESS</w:t>
            </w:r>
          </w:p>
        </w:tc>
        <w:tc>
          <w:tcPr>
            <w:tcW w:type="dxa" w:w="3120"/>
          </w:tcPr>
          <w:p>
            <w:pPr>
              <w:spacing w:after="0"/>
            </w:pPr>
            <w:r/>
            <w:r>
              <w:rPr>
                <w:b w:val="0"/>
              </w:rPr>
              <w:t>Do not place an identity gate before Question 1; offer recovery after the respondent has created work worth preserving.</w:t>
            </w:r>
          </w:p>
        </w:tc>
      </w:tr>
    </w:tbl>
    <w:p>
      <w:r>
        <w:t>Identity and assessment model: a Contact and an Assessment Instance are separate objects. One Contact may be associated with multiple independent Assessment Instances. The assessment instance, not the email address, is the primary identity for assessment state. Recovery linkage and reminder consent are assessment-scoped; professional/commercial follow-up consent is contact-scoped.</w:t>
      </w:r>
    </w:p>
    <w:p>
      <w:r>
        <w:t>Consent lifecycle: optional permissions may be granted later or withdrawn later. A contact-level withdrawal of professional/commercial follow-up applies prospectively to that contact rather than being recreated independently for each assessment instance.</w:t>
      </w:r>
    </w:p>
    <w:p>
      <w:r>
        <w:t>Deletion scope: deleting a recoverable assessment removes the recoverable/server-side assessment linkage and recovery capability for that instance. It does not automatically erase an anonymous local copy that may remain on the original device. Clearing local working state or starting a new assessment is a separate deliberate action. Completion monotonicity governs ordinary assessment interaction; deliberate deletion or creation of a new assessment is an out-of-band lifecycle action and does not violate that invariant.</w:t>
      </w:r>
    </w:p>
    <w:p>
      <w:r>
        <w:t>Data separation: assessment evidence/state and contact/consent data are associated but conceptually separate records. Assessment state contains responses, stable statement identities, randomized response order, completion/scoring inputs, and results. Contact/consent state contains recovery identity and permissions for professional/commercial follow-up; assessment-specific reminder consent remains linked to the relevant instance. Commercial/contact state never alters assessment scoring or methodology.</w:t>
      </w:r>
    </w:p>
    <w:p>
      <w:r>
        <w:t>Presentation-integrity requirement: recovery value must not be used as a presentation device to obscure or bundle commercial consent. If recovery and professional follow-up choices appear in the same interaction, the professional/commercial permission must remain visibly optional and understandable as a separate choice.</w:t>
      </w:r>
    </w:p>
    <w:p>
      <w:r>
        <w:t>Reminder implementation requirement: any reminder queued earlier must re-check the current assessment completion state immediately before send so that an in-flight reminder cannot be delivered after 49/49 completion.</w:t>
      </w:r>
    </w:p>
    <w:p>
      <w:r>
        <w:t>Retention/expiry dependency now has two lifecycles: Assessment Instance data has its own retention/expiry policy; Contact identity and contact-level professional/commercial consent have an independent lifecycle and may outlive any single assessment instance. Exact retention periods remain an implementation/privacy decision.</w:t>
      </w:r>
    </w:p>
    <w:p>
      <w:r>
        <w:t>Awareness only, not blocking architecture: email-based identity can represent the same person as separate Contacts if different addresses are used, and shared/generic inboxes do not guarantee a one-to-one relationship between Contact and individual person. These are inherent limitations of email identity and do not require resolution before Gate 3.</w:t>
      </w:r>
    </w:p>
    <w:p>
      <w:r>
        <w:rPr>
          <w:b/>
        </w:rPr>
        <w:t>Assessment Discussion Request (2E-3D extension - LOCKED)</w:t>
      </w:r>
    </w:p>
    <w:p>
      <w:r>
        <w:rPr>
          <w:b w:val="0"/>
        </w:rPr>
        <w:t>A fourth concept is added to the contact/continuity architecture: the Assessment Discussion Request. This is a respondent-initiated, assessment-instance-scoped action request, not a fourth standing permission/consent category alongside recovery, reminders, and commercial/personal-outreach consent. It authorizes contact reasonably necessary to respond to the respondent's request to discuss that specific PFI assessment. It does not create, revoke, or modify contact-level commercial/personal-outreach consent.</w:t>
      </w:r>
    </w:p>
    <w:p>
      <w:r>
        <w:rPr>
          <w:b w:val="0"/>
        </w:rPr>
        <w:t>Locked properties: optional and respondent-initiated; scoped to the specific assessment instance; independent of recovery enrollment, reminder permission, and commercial/personal-outreach consent in both directions; no effect on scoring, output, interpretation, visibility, or access; known identity is reused rather than requested again; when identity is unknown, only the contact information necessary to fulfill the request is captured; a request tied to one assessment instance does not carry forward to a different instance; commercial consent and a discussion request may exist in any independent combination.</w:t>
      </w:r>
    </w:p>
    <w:p>
      <w:pPr>
        <w:pStyle w:val="Heading2"/>
      </w:pPr>
      <w:r>
        <w:t>11.8 Gate 2 Closure Audit</w:t>
      </w:r>
    </w:p>
    <w:p>
      <w:r>
        <w:t>The Gate 2 closure audit, extended through 2E-3D, found no unresolved interaction among response integrity, completion, evidence handoff, revision, persistence, resume, recovery, contact capture, consent, and permissioned lead generation. The original Gate 2 charter is fully addressed across 2A-2E, including the targeted 2E-3D extension. Insufficient Basis remains correctly represented internally even though, under current N/A eligibility, it is unreachable at completed-assessment state.</w:t>
      </w:r>
    </w:p>
    <w:p>
      <w:r>
        <w:t>Gate 2 is CLOSED. The 2E-3D extension does not reopen scoring or questionnaire methodology; it completes the contact/consent boundary required before output architecture. Open items that remain are downstream implementation, privacy, retention, communications, and design dependencies rather than unresolved Gate 2 methodology or interaction architecture.</w:t>
      </w:r>
    </w:p>
    <w:p>
      <w:pPr>
        <w:pStyle w:val="Heading2"/>
      </w:pPr>
      <w:r>
        <w:t>11.9 Next Authorized Work - Gate 3</w:t>
      </w:r>
    </w:p>
    <w:p>
      <w:r>
        <w:t>Gate 3 is authorized to design the PFI output/results architecture: dimension drivers, Universal Low-Score Visibility, SRI signals, overall interpretation, score/classification presentation, and the relationship among these elements. Gate 3 also owns the post-results commercial bridge: how a respondent who has received substantive PFI value may optionally move into deeper examination or a conversation with Carlos Ureña Payments Strategy. That bridge must remain optional and must not retroactively turn contact capture or standard results into a gate. Gate 3 must remain within v28's governing principle and must not convert self-assessment evidence into unsupported diagnosis or prescription.</w:t>
      </w:r>
    </w:p>
    <w:p>
      <w:pPr>
        <w:pStyle w:val="Heading1"/>
        <w:pageBreakBefore/>
      </w:pPr>
      <w:r>
        <w:t>12. Gate 3 - Output Architecture</w:t>
      </w:r>
    </w:p>
    <w:p>
      <w:r>
        <w:t>STATUS: CLOSED - GATES 3A-3F CLOSED.</w:t>
      </w:r>
    </w:p>
    <w:p>
      <w:r>
        <w:t>Gate 3 governs the respondent-facing results/output architecture. It uses the actual legacy four-page PFI report as the forensic baseline, the locked v28 methodology as the evidentiary ceiling, and the six output jobs below as the value architecture. Gate 3 does not reopen questionnaire, scoring, weighting, applicability, SRI, visibility, or composite mathematics.</w:t>
      </w:r>
    </w:p>
    <w:p>
      <w:pPr>
        <w:pStyle w:val="Heading2"/>
      </w:pPr>
      <w:r>
        <w:t>12.1 Gate 3A - Legacy Output Forensic Baseline</w:t>
      </w:r>
    </w:p>
    <w:p>
      <w:r>
        <w:t>STATUS: CLOSED</w:t>
      </w:r>
    </w:p>
    <w:p>
      <w:r>
        <w:t>The actual legacy four-page PFI output was reviewed component by component. The report progresses from measurement and interpretation into increasingly unsupported diagnosis and prescription: Page 1 provides the executive snapshot and score/profile; Page 2 adds dimension narratives and an Executive Diagnosis; Page 3 prescribes 90-day priorities, owners and KPIs; Page 4 prescribes a 30/60/90 execution plan and then bridges to deeper diagnostic work.</w:t>
      </w:r>
    </w:p>
    <w:p>
      <w:r>
        <w:t>Gate 3A locked the following evidentiary ladder for output review: measurement -&gt; interpretation -&gt; attention-direction -&gt; diagnosis -&gt; prescription. The standard self-assessment may measure, interpret, and direct attention where supported by respondent evidence. It may not convert co-occurrence or low evidence statements into unsupported causal diagnosis or prescribed intervention.</w:t>
      </w:r>
    </w:p>
    <w:p>
      <w:r>
        <w:t>Legacy-value finding: the old report derives much of its perceived usefulness from specificity and concreteness. Gate 3 must therefore preserve executive value without preserving unsupported certainty. The design objective is not a safer but generic report; it is the maximum specificity legitimately earned by the evidence.</w:t>
      </w:r>
    </w:p>
    <w:p>
      <w:pPr>
        <w:pStyle w:val="Heading2"/>
      </w:pPr>
      <w:r>
        <w:t>12.2 Gate 3B - Output Value Architecture</w:t>
      </w:r>
    </w:p>
    <w:p>
      <w:r>
        <w:t>STATUS: CLOSED</w:t>
      </w:r>
    </w:p>
    <w:p>
      <w:r>
        <w:t>Governing output principle: recover specificity from the respondent's actual evidence; do not manufacture specificity through unsupported diagnosis or prescription. Specificity of subject is permitted and desirable. Specificity of cause, intervention, owner, KPI, or execution sequence requires evidence the self-assessment does not possess.</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1944"/>
            <w:shd w:fill="D9E2F3"/>
            <w:vAlign w:val="center"/>
          </w:tcPr>
          <w:p>
            <w:r>
              <w:rPr>
                <w:b/>
              </w:rPr>
            </w:r>
            <w:r>
              <w:rPr>
                <w:b/>
              </w:rPr>
              <w:t>Output job</w:t>
            </w:r>
          </w:p>
        </w:tc>
        <w:tc>
          <w:tcPr>
            <w:tcW w:type="dxa" w:w="2448"/>
            <w:shd w:fill="D9E2F3"/>
            <w:vAlign w:val="center"/>
          </w:tcPr>
          <w:p>
            <w:r>
              <w:rPr>
                <w:b/>
              </w:rPr>
            </w:r>
            <w:r>
              <w:rPr>
                <w:b/>
              </w:rPr>
              <w:t>Executive question</w:t>
            </w:r>
          </w:p>
        </w:tc>
        <w:tc>
          <w:tcPr>
            <w:tcW w:type="dxa" w:w="3024"/>
            <w:shd w:fill="D9E2F3"/>
            <w:vAlign w:val="center"/>
          </w:tcPr>
          <w:p>
            <w:r>
              <w:rPr>
                <w:b/>
              </w:rPr>
            </w:r>
            <w:r>
              <w:rPr>
                <w:b/>
              </w:rPr>
              <w:t>Evidence basis</w:t>
            </w:r>
          </w:p>
        </w:tc>
        <w:tc>
          <w:tcPr>
            <w:tcW w:type="dxa" w:w="3384"/>
            <w:shd w:fill="D9E2F3"/>
            <w:vAlign w:val="center"/>
          </w:tcPr>
          <w:p>
            <w:r>
              <w:rPr>
                <w:b/>
              </w:rPr>
            </w:r>
            <w:r>
              <w:rPr>
                <w:b/>
              </w:rPr>
              <w:t>Evidentiary ceiling</w:t>
            </w:r>
          </w:p>
        </w:tc>
      </w:tr>
      <w:tr>
        <w:tc>
          <w:tcPr>
            <w:tcW w:type="dxa" w:w="1944"/>
          </w:tcPr>
          <w:p>
            <w:r/>
            <w:r>
              <w:rPr>
                <w:b w:val="0"/>
              </w:rPr>
              <w:t>1. Overall Standing</w:t>
            </w:r>
          </w:p>
        </w:tc>
        <w:tc>
          <w:tcPr>
            <w:tcW w:type="dxa" w:w="2448"/>
          </w:tcPr>
          <w:p>
            <w:r/>
            <w:r>
              <w:rPr>
                <w:b w:val="0"/>
              </w:rPr>
              <w:t>Where do we stand overall?</w:t>
            </w:r>
          </w:p>
        </w:tc>
        <w:tc>
          <w:tcPr>
            <w:tcW w:type="dxa" w:w="3024"/>
          </w:tcPr>
          <w:p>
            <w:r/>
            <w:r>
              <w:rPr>
                <w:b w:val="0"/>
              </w:rPr>
              <w:t>Composite measurement and required composite-state disclosure.</w:t>
            </w:r>
          </w:p>
        </w:tc>
        <w:tc>
          <w:tcPr>
            <w:tcW w:type="dxa" w:w="3384"/>
          </w:tcPr>
          <w:p>
            <w:r/>
            <w:r>
              <w:rPr>
                <w:b w:val="0"/>
              </w:rPr>
              <w:t>Summary statistic of self-reported evidence; no benchmark, verdict, or causal claim.</w:t>
            </w:r>
          </w:p>
        </w:tc>
      </w:tr>
      <w:tr>
        <w:tc>
          <w:tcPr>
            <w:tcW w:type="dxa" w:w="1944"/>
          </w:tcPr>
          <w:p>
            <w:r/>
            <w:r>
              <w:rPr>
                <w:b w:val="0"/>
              </w:rPr>
              <w:t>2. Dimension-Level Differentiation</w:t>
            </w:r>
          </w:p>
        </w:tc>
        <w:tc>
          <w:tcPr>
            <w:tcW w:type="dxa" w:w="2448"/>
          </w:tcPr>
          <w:p>
            <w:r/>
            <w:r>
              <w:rPr>
                <w:b w:val="0"/>
              </w:rPr>
              <w:t>Where does the profile differ across seven dimensions?</w:t>
            </w:r>
          </w:p>
        </w:tc>
        <w:tc>
          <w:tcPr>
            <w:tcW w:type="dxa" w:w="3024"/>
          </w:tcPr>
          <w:p>
            <w:r/>
            <w:r>
              <w:rPr>
                <w:b w:val="0"/>
              </w:rPr>
              <w:t>Seven dimension scores, relative profile, dimension-level interpretation, evidence-grounded strengths.</w:t>
            </w:r>
          </w:p>
        </w:tc>
        <w:tc>
          <w:tcPr>
            <w:tcW w:type="dxa" w:w="3384"/>
          </w:tcPr>
          <w:p>
            <w:r/>
            <w:r>
              <w:rPr>
                <w:b w:val="0"/>
              </w:rPr>
              <w:t>Describe relative evidence and what is stronger/lower; do not explain why a dimension scored where it did.</w:t>
            </w:r>
          </w:p>
        </w:tc>
      </w:tr>
      <w:tr>
        <w:tc>
          <w:tcPr>
            <w:tcW w:type="dxa" w:w="1944"/>
          </w:tcPr>
          <w:p>
            <w:r/>
            <w:r>
              <w:rPr>
                <w:b w:val="0"/>
              </w:rPr>
              <w:t>3. Signal Visibility Beneath the Average</w:t>
            </w:r>
          </w:p>
        </w:tc>
        <w:tc>
          <w:tcPr>
            <w:tcW w:type="dxa" w:w="2448"/>
          </w:tcPr>
          <w:p>
            <w:r/>
            <w:r>
              <w:rPr>
                <w:b w:val="0"/>
              </w:rPr>
              <w:t>Is something important hidden underneath an average?</w:t>
            </w:r>
          </w:p>
        </w:tc>
        <w:tc>
          <w:tcPr>
            <w:tcW w:type="dxa" w:w="3024"/>
          </w:tcPr>
          <w:p>
            <w:r/>
            <w:r>
              <w:rPr>
                <w:b w:val="0"/>
              </w:rPr>
              <w:t>Question-level SRI and Universal Low-Score Visibility.</w:t>
            </w:r>
          </w:p>
        </w:tc>
        <w:tc>
          <w:tcPr>
            <w:tcW w:type="dxa" w:w="3384"/>
          </w:tcPr>
          <w:p>
            <w:r/>
            <w:r>
              <w:rPr>
                <w:b w:val="0"/>
              </w:rPr>
              <w:t>Surface the named construct/evidence signal; never aggregate flag count into severity or infer cause.</w:t>
            </w:r>
          </w:p>
        </w:tc>
      </w:tr>
      <w:tr>
        <w:tc>
          <w:tcPr>
            <w:tcW w:type="dxa" w:w="1944"/>
          </w:tcPr>
          <w:p>
            <w:r/>
            <w:r>
              <w:rPr>
                <w:b w:val="0"/>
              </w:rPr>
              <w:t>4. Cross-Dimension Pattern</w:t>
            </w:r>
          </w:p>
        </w:tc>
        <w:tc>
          <w:tcPr>
            <w:tcW w:type="dxa" w:w="2448"/>
          </w:tcPr>
          <w:p>
            <w:r/>
            <w:r>
              <w:rPr>
                <w:b w:val="0"/>
              </w:rPr>
              <w:t>What pattern does the profile form?</w:t>
            </w:r>
          </w:p>
        </w:tc>
        <w:tc>
          <w:tcPr>
            <w:tcW w:type="dxa" w:w="3024"/>
          </w:tcPr>
          <w:p>
            <w:r/>
            <w:r>
              <w:rPr>
                <w:b w:val="0"/>
              </w:rPr>
              <w:t>Dimension-level profile plus question-level flags.</w:t>
            </w:r>
          </w:p>
        </w:tc>
        <w:tc>
          <w:tcPr>
            <w:tcW w:type="dxa" w:w="3384"/>
          </w:tcPr>
          <w:p>
            <w:r/>
            <w:r>
              <w:rPr>
                <w:b w:val="0"/>
              </w:rPr>
              <w:t>Describe co-occurrence only; do not claim one dimension causes another or prescribe a response.</w:t>
            </w:r>
          </w:p>
        </w:tc>
      </w:tr>
      <w:tr>
        <w:tc>
          <w:tcPr>
            <w:tcW w:type="dxa" w:w="1944"/>
          </w:tcPr>
          <w:p>
            <w:r/>
            <w:r>
              <w:rPr>
                <w:b w:val="0"/>
              </w:rPr>
              <w:t>5. Direction for Next Steps</w:t>
            </w:r>
          </w:p>
        </w:tc>
        <w:tc>
          <w:tcPr>
            <w:tcW w:type="dxa" w:w="2448"/>
          </w:tcPr>
          <w:p>
            <w:r/>
            <w:r>
              <w:rPr>
                <w:b w:val="0"/>
              </w:rPr>
              <w:t>Where should management look next, and what evidence is still needed?</w:t>
            </w:r>
          </w:p>
        </w:tc>
        <w:tc>
          <w:tcPr>
            <w:tcW w:type="dxa" w:w="3024"/>
          </w:tcPr>
          <w:p>
            <w:r/>
            <w:r>
              <w:rPr>
                <w:b w:val="0"/>
              </w:rPr>
              <w:t>Selected-anchor evidence, question-level signals, dimension context, and Intentional-Choice metadata where relevant.</w:t>
            </w:r>
          </w:p>
        </w:tc>
        <w:tc>
          <w:tcPr>
            <w:tcW w:type="dxa" w:w="3384"/>
          </w:tcPr>
          <w:p>
            <w:r/>
            <w:r>
              <w:rPr>
                <w:b w:val="0"/>
              </w:rPr>
              <w:t>Identify areas warranting deeper examination and missing evidence; do not diagnose root cause or prescribe what should change.</w:t>
            </w:r>
          </w:p>
        </w:tc>
      </w:tr>
      <w:tr>
        <w:tc>
          <w:tcPr>
            <w:tcW w:type="dxa" w:w="1944"/>
          </w:tcPr>
          <w:p>
            <w:r/>
            <w:r>
              <w:rPr>
                <w:b w:val="0"/>
              </w:rPr>
              <w:t>6. Bridge to Deeper Engagement</w:t>
            </w:r>
          </w:p>
        </w:tc>
        <w:tc>
          <w:tcPr>
            <w:tcW w:type="dxa" w:w="2448"/>
          </w:tcPr>
          <w:p>
            <w:r/>
            <w:r>
              <w:rPr>
                <w:b w:val="0"/>
              </w:rPr>
              <w:t>What if the respondent wants to go deeper?</w:t>
            </w:r>
          </w:p>
        </w:tc>
        <w:tc>
          <w:tcPr>
            <w:tcW w:type="dxa" w:w="3024"/>
          </w:tcPr>
          <w:p>
            <w:r/>
            <w:r>
              <w:rPr>
                <w:b w:val="0"/>
              </w:rPr>
              <w:t>The boundary between self-assessment evidence and portfolio-level analysis plus Gate 2E-3D consent architecture.</w:t>
            </w:r>
          </w:p>
        </w:tc>
        <w:tc>
          <w:tcPr>
            <w:tcW w:type="dxa" w:w="3384"/>
          </w:tcPr>
          <w:p>
            <w:r/>
            <w:r>
              <w:rPr>
                <w:b w:val="0"/>
              </w:rPr>
              <w:t>Offer an optional path to deeper examination without gating, degrading, or disguising the standard result as a sales form.</w:t>
            </w:r>
          </w:p>
        </w:tc>
      </w:tr>
    </w:tbl>
    <w:p>
      <w:r>
        <w:t>Path-identity resolution: no new respondent field is persisted. Gate 2E already requires a stable selected-statement identifier. Post-completion output may join that identifier to fixed v28 methodology metadata to determine Capability versus Intentional-Choice path where relevant. Path awareness is required for Job 5 so a deliberate, substantiated strategic choice is not mislabeled as a capability gap. Job 2 remains path-agnostic and non-causal. Job 4 remains based on dimension profile plus question-level flags; path composition is not adopted as a required pattern input. Capability/Intentional-Choice labels remain hidden during assessment.</w:t>
      </w:r>
    </w:p>
    <w:p>
      <w:pPr>
        <w:pStyle w:val="Heading2"/>
      </w:pPr>
      <w:r>
        <w:t>12.3 Gate 3C - Legacy Component Disposition</w:t>
      </w:r>
    </w:p>
    <w:p>
      <w:r>
        <w:t>STATUS: CLOSED</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736"/>
            <w:shd w:fill="D9E2F3"/>
            <w:vAlign w:val="center"/>
          </w:tcPr>
          <w:p>
            <w:r>
              <w:rPr>
                <w:b/>
              </w:rPr>
            </w:r>
            <w:r>
              <w:rPr>
                <w:b/>
              </w:rPr>
              <w:t>Legacy component</w:t>
            </w:r>
          </w:p>
        </w:tc>
        <w:tc>
          <w:tcPr>
            <w:tcW w:type="dxa" w:w="1944"/>
            <w:shd w:fill="D9E2F3"/>
            <w:vAlign w:val="center"/>
          </w:tcPr>
          <w:p>
            <w:r>
              <w:rPr>
                <w:b/>
              </w:rPr>
            </w:r>
            <w:r>
              <w:rPr>
                <w:b/>
              </w:rPr>
              <w:t>Disposition</w:t>
            </w:r>
          </w:p>
        </w:tc>
        <w:tc>
          <w:tcPr>
            <w:tcW w:type="dxa" w:w="1152"/>
            <w:shd w:fill="D9E2F3"/>
            <w:vAlign w:val="center"/>
          </w:tcPr>
          <w:p>
            <w:r>
              <w:rPr>
                <w:b/>
              </w:rPr>
            </w:r>
            <w:r>
              <w:rPr>
                <w:b/>
              </w:rPr>
              <w:t>Job</w:t>
            </w:r>
          </w:p>
        </w:tc>
        <w:tc>
          <w:tcPr>
            <w:tcW w:type="dxa" w:w="4968"/>
            <w:shd w:fill="D9E2F3"/>
            <w:vAlign w:val="center"/>
          </w:tcPr>
          <w:p>
            <w:r>
              <w:rPr>
                <w:b/>
              </w:rPr>
            </w:r>
            <w:r>
              <w:rPr>
                <w:b/>
              </w:rPr>
              <w:t>Locked direction</w:t>
            </w:r>
          </w:p>
        </w:tc>
      </w:tr>
      <w:tr>
        <w:tc>
          <w:tcPr>
            <w:tcW w:type="dxa" w:w="2736"/>
          </w:tcPr>
          <w:p>
            <w:r/>
            <w:r>
              <w:rPr>
                <w:b w:val="0"/>
              </w:rPr>
              <w:t>PFI 0-100 score</w:t>
            </w:r>
          </w:p>
        </w:tc>
        <w:tc>
          <w:tcPr>
            <w:tcW w:type="dxa" w:w="1944"/>
          </w:tcPr>
          <w:p>
            <w:r/>
            <w:r>
              <w:rPr>
                <w:b w:val="0"/>
              </w:rPr>
              <w:t>MODIFY</w:t>
            </w:r>
          </w:p>
        </w:tc>
        <w:tc>
          <w:tcPr>
            <w:tcW w:type="dxa" w:w="1152"/>
          </w:tcPr>
          <w:p>
            <w:r/>
            <w:r>
              <w:rPr>
                <w:b w:val="0"/>
              </w:rPr>
              <w:t>Job 1</w:t>
            </w:r>
          </w:p>
        </w:tc>
        <w:tc>
          <w:tcPr>
            <w:tcW w:type="dxa" w:w="4968"/>
          </w:tcPr>
          <w:p>
            <w:r/>
            <w:r>
              <w:rPr>
                <w:b w:val="0"/>
              </w:rPr>
              <w:t>Retain the composite as headline measurement; decouple it from legacy evaluative labels and implement correct composite-state disclosure.</w:t>
            </w:r>
          </w:p>
        </w:tc>
      </w:tr>
      <w:tr>
        <w:tc>
          <w:tcPr>
            <w:tcW w:type="dxa" w:w="2736"/>
          </w:tcPr>
          <w:p>
            <w:r/>
            <w:r>
              <w:rPr>
                <w:b w:val="0"/>
              </w:rPr>
              <w:t>Overall classification/bands + classification scale</w:t>
            </w:r>
          </w:p>
        </w:tc>
        <w:tc>
          <w:tcPr>
            <w:tcW w:type="dxa" w:w="1944"/>
          </w:tcPr>
          <w:p>
            <w:r/>
            <w:r>
              <w:rPr>
                <w:b w:val="0"/>
              </w:rPr>
              <w:t>REMOVE</w:t>
            </w:r>
          </w:p>
        </w:tc>
        <w:tc>
          <w:tcPr>
            <w:tcW w:type="dxa" w:w="1152"/>
          </w:tcPr>
          <w:p>
            <w:r/>
            <w:r>
              <w:rPr>
                <w:b w:val="0"/>
              </w:rPr>
              <w:t>Job 1</w:t>
            </w:r>
          </w:p>
        </w:tc>
        <w:tc>
          <w:tcPr>
            <w:tcW w:type="dxa" w:w="4968"/>
          </w:tcPr>
          <w:p>
            <w:r/>
            <w:r>
              <w:rPr>
                <w:b w:val="0"/>
              </w:rPr>
              <w:t>No traceable v28 basis; legacy labels such as Operationally Stable / Structural Failure create unsupported evaluative verdicts.</w:t>
            </w:r>
          </w:p>
        </w:tc>
      </w:tr>
      <w:tr>
        <w:tc>
          <w:tcPr>
            <w:tcW w:type="dxa" w:w="2736"/>
          </w:tcPr>
          <w:p>
            <w:r/>
            <w:r>
              <w:rPr>
                <w:b w:val="0"/>
              </w:rPr>
              <w:t>Benchmark Insight</w:t>
            </w:r>
          </w:p>
        </w:tc>
        <w:tc>
          <w:tcPr>
            <w:tcW w:type="dxa" w:w="1944"/>
          </w:tcPr>
          <w:p>
            <w:r/>
            <w:r>
              <w:rPr>
                <w:b w:val="0"/>
              </w:rPr>
              <w:t>REPLACE</w:t>
            </w:r>
          </w:p>
        </w:tc>
        <w:tc>
          <w:tcPr>
            <w:tcW w:type="dxa" w:w="1152"/>
          </w:tcPr>
          <w:p>
            <w:r/>
            <w:r>
              <w:rPr>
                <w:b w:val="0"/>
              </w:rPr>
              <w:t>Jobs 1/5</w:t>
            </w:r>
          </w:p>
        </w:tc>
        <w:tc>
          <w:tcPr>
            <w:tcW w:type="dxa" w:w="4968"/>
          </w:tcPr>
          <w:p>
            <w:r/>
            <w:r>
              <w:rPr>
                <w:b w:val="0"/>
              </w:rPr>
              <w:t>No comparative benchmark dataset exists. Preserve plain-language meaning of the aggregate, not benchmark framing or named strategic levers.</w:t>
            </w:r>
          </w:p>
        </w:tc>
      </w:tr>
      <w:tr>
        <w:tc>
          <w:tcPr>
            <w:tcW w:type="dxa" w:w="2736"/>
          </w:tcPr>
          <w:p>
            <w:r/>
            <w:r>
              <w:rPr>
                <w:b w:val="0"/>
              </w:rPr>
              <w:t>Dimension heatmap/profile</w:t>
            </w:r>
          </w:p>
        </w:tc>
        <w:tc>
          <w:tcPr>
            <w:tcW w:type="dxa" w:w="1944"/>
          </w:tcPr>
          <w:p>
            <w:r/>
            <w:r>
              <w:rPr>
                <w:b w:val="0"/>
              </w:rPr>
              <w:t>MODIFY</w:t>
            </w:r>
          </w:p>
        </w:tc>
        <w:tc>
          <w:tcPr>
            <w:tcW w:type="dxa" w:w="1152"/>
          </w:tcPr>
          <w:p>
            <w:r/>
            <w:r>
              <w:rPr>
                <w:b w:val="0"/>
              </w:rPr>
              <w:t>Job 2</w:t>
            </w:r>
          </w:p>
        </w:tc>
        <w:tc>
          <w:tcPr>
            <w:tcW w:type="dxa" w:w="4968"/>
          </w:tcPr>
          <w:p>
            <w:r/>
            <w:r>
              <w:rPr>
                <w:b w:val="0"/>
              </w:rPr>
              <w:t>Retain the visual comparative concept; rebuild for seven dimensions and new evidence/output states.</w:t>
            </w:r>
          </w:p>
        </w:tc>
      </w:tr>
      <w:tr>
        <w:tc>
          <w:tcPr>
            <w:tcW w:type="dxa" w:w="2736"/>
          </w:tcPr>
          <w:p>
            <w:r/>
            <w:r>
              <w:rPr>
                <w:b w:val="0"/>
              </w:rPr>
              <w:t>Visible dimension weights in primary profile</w:t>
            </w:r>
          </w:p>
        </w:tc>
        <w:tc>
          <w:tcPr>
            <w:tcW w:type="dxa" w:w="1944"/>
          </w:tcPr>
          <w:p>
            <w:r/>
            <w:r>
              <w:rPr>
                <w:b w:val="0"/>
              </w:rPr>
              <w:t>REMOVE / REASSIGN</w:t>
            </w:r>
          </w:p>
        </w:tc>
        <w:tc>
          <w:tcPr>
            <w:tcW w:type="dxa" w:w="1152"/>
          </w:tcPr>
          <w:p>
            <w:r/>
            <w:r>
              <w:rPr>
                <w:b w:val="0"/>
              </w:rPr>
              <w:t>Job 1</w:t>
            </w:r>
          </w:p>
        </w:tc>
        <w:tc>
          <w:tcPr>
            <w:tcW w:type="dxa" w:w="4968"/>
          </w:tcPr>
          <w:p>
            <w:r/>
            <w:r>
              <w:rPr>
                <w:b w:val="0"/>
              </w:rPr>
              <w:t>Weights are composite-construction inputs, not institution-specific strategic importance. Remove from Job 2 comparison view; disclose under Job 1 methodology as required.</w:t>
            </w:r>
          </w:p>
        </w:tc>
      </w:tr>
      <w:tr>
        <w:tc>
          <w:tcPr>
            <w:tcW w:type="dxa" w:w="2736"/>
          </w:tcPr>
          <w:p>
            <w:r/>
            <w:r>
              <w:rPr>
                <w:b w:val="0"/>
              </w:rPr>
              <w:t>Dimension scores</w:t>
            </w:r>
          </w:p>
        </w:tc>
        <w:tc>
          <w:tcPr>
            <w:tcW w:type="dxa" w:w="1944"/>
          </w:tcPr>
          <w:p>
            <w:r/>
            <w:r>
              <w:rPr>
                <w:b w:val="0"/>
              </w:rPr>
              <w:t>RETAIN</w:t>
            </w:r>
          </w:p>
        </w:tc>
        <w:tc>
          <w:tcPr>
            <w:tcW w:type="dxa" w:w="1152"/>
          </w:tcPr>
          <w:p>
            <w:r/>
            <w:r>
              <w:rPr>
                <w:b w:val="0"/>
              </w:rPr>
              <w:t>Job 2</w:t>
            </w:r>
          </w:p>
        </w:tc>
        <w:tc>
          <w:tcPr>
            <w:tcW w:type="dxa" w:w="4968"/>
          </w:tcPr>
          <w:p>
            <w:r/>
            <w:r>
              <w:rPr>
                <w:b w:val="0"/>
              </w:rPr>
              <w:t>Direct measurement-level output from v28.</w:t>
            </w:r>
          </w:p>
        </w:tc>
      </w:tr>
      <w:tr>
        <w:tc>
          <w:tcPr>
            <w:tcW w:type="dxa" w:w="2736"/>
          </w:tcPr>
          <w:p>
            <w:r/>
            <w:r>
              <w:rPr>
                <w:b w:val="0"/>
              </w:rPr>
              <w:t>Dimension maturity/status labels</w:t>
            </w:r>
          </w:p>
        </w:tc>
        <w:tc>
          <w:tcPr>
            <w:tcW w:type="dxa" w:w="1944"/>
          </w:tcPr>
          <w:p>
            <w:r/>
            <w:r>
              <w:rPr>
                <w:b w:val="0"/>
              </w:rPr>
              <w:t>REMOVE</w:t>
            </w:r>
          </w:p>
        </w:tc>
        <w:tc>
          <w:tcPr>
            <w:tcW w:type="dxa" w:w="1152"/>
          </w:tcPr>
          <w:p>
            <w:r/>
            <w:r>
              <w:rPr>
                <w:b w:val="0"/>
              </w:rPr>
              <w:t>Job 2</w:t>
            </w:r>
          </w:p>
        </w:tc>
        <w:tc>
          <w:tcPr>
            <w:tcW w:type="dxa" w:w="4968"/>
          </w:tcPr>
          <w:p>
            <w:r/>
            <w:r>
              <w:rPr>
                <w:b w:val="0"/>
              </w:rPr>
              <w:t>No v28 dimension-label basis; question-level maturity vocabulary must not be misapplied to continuous dimension averages.</w:t>
            </w:r>
          </w:p>
        </w:tc>
      </w:tr>
      <w:tr>
        <w:tc>
          <w:tcPr>
            <w:tcW w:type="dxa" w:w="2736"/>
          </w:tcPr>
          <w:p>
            <w:r/>
            <w:r>
              <w:rPr>
                <w:b w:val="0"/>
              </w:rPr>
              <w:t>Dimension interpretation narratives</w:t>
            </w:r>
          </w:p>
        </w:tc>
        <w:tc>
          <w:tcPr>
            <w:tcW w:type="dxa" w:w="1944"/>
          </w:tcPr>
          <w:p>
            <w:r/>
            <w:r>
              <w:rPr>
                <w:b w:val="0"/>
              </w:rPr>
              <w:t>MODIFY</w:t>
            </w:r>
          </w:p>
        </w:tc>
        <w:tc>
          <w:tcPr>
            <w:tcW w:type="dxa" w:w="1152"/>
          </w:tcPr>
          <w:p>
            <w:r/>
            <w:r>
              <w:rPr>
                <w:b w:val="0"/>
              </w:rPr>
              <w:t>Job 2</w:t>
            </w:r>
          </w:p>
        </w:tc>
        <w:tc>
          <w:tcPr>
            <w:tcW w:type="dxa" w:w="4968"/>
          </w:tcPr>
          <w:p>
            <w:r/>
            <w:r>
              <w:rPr>
                <w:b w:val="0"/>
              </w:rPr>
              <w:t>Retain concise per-dimension interpretation, rebuilt for seven dimensions and audited for causal overreach.</w:t>
            </w:r>
          </w:p>
        </w:tc>
      </w:tr>
      <w:tr>
        <w:tc>
          <w:tcPr>
            <w:tcW w:type="dxa" w:w="2736"/>
          </w:tcPr>
          <w:p>
            <w:r/>
            <w:r>
              <w:rPr>
                <w:b w:val="0"/>
              </w:rPr>
              <w:t>Key Structural Issues + Improvement Areas</w:t>
            </w:r>
          </w:p>
        </w:tc>
        <w:tc>
          <w:tcPr>
            <w:tcW w:type="dxa" w:w="1944"/>
          </w:tcPr>
          <w:p>
            <w:r/>
            <w:r>
              <w:rPr>
                <w:b w:val="0"/>
              </w:rPr>
              <w:t>REPLACE / CONSOLIDATE</w:t>
            </w:r>
          </w:p>
        </w:tc>
        <w:tc>
          <w:tcPr>
            <w:tcW w:type="dxa" w:w="1152"/>
          </w:tcPr>
          <w:p>
            <w:r/>
            <w:r>
              <w:rPr>
                <w:b w:val="0"/>
              </w:rPr>
              <w:t>Job 5</w:t>
            </w:r>
          </w:p>
        </w:tc>
        <w:tc>
          <w:tcPr>
            <w:tcW w:type="dxa" w:w="4968"/>
          </w:tcPr>
          <w:p>
            <w:r/>
            <w:r>
              <w:rPr>
                <w:b w:val="0"/>
              </w:rPr>
              <w:t>Replace duplicate weak-area lists with one evidence-grounded set of areas warranting deeper examination.</w:t>
            </w:r>
          </w:p>
        </w:tc>
      </w:tr>
      <w:tr>
        <w:tc>
          <w:tcPr>
            <w:tcW w:type="dxa" w:w="2736"/>
          </w:tcPr>
          <w:p>
            <w:r/>
            <w:r>
              <w:rPr>
                <w:b w:val="0"/>
              </w:rPr>
              <w:t>Immediate Focus + Executive Diagnosis + Strategic Takeaway</w:t>
            </w:r>
          </w:p>
        </w:tc>
        <w:tc>
          <w:tcPr>
            <w:tcW w:type="dxa" w:w="1944"/>
          </w:tcPr>
          <w:p>
            <w:r/>
            <w:r>
              <w:rPr>
                <w:b w:val="0"/>
              </w:rPr>
              <w:t>REPLACE / CONSOLIDATE</w:t>
            </w:r>
          </w:p>
        </w:tc>
        <w:tc>
          <w:tcPr>
            <w:tcW w:type="dxa" w:w="1152"/>
          </w:tcPr>
          <w:p>
            <w:r/>
            <w:r>
              <w:rPr>
                <w:b w:val="0"/>
              </w:rPr>
              <w:t>Job 4</w:t>
            </w:r>
          </w:p>
        </w:tc>
        <w:tc>
          <w:tcPr>
            <w:tcW w:type="dxa" w:w="4968"/>
          </w:tcPr>
          <w:p>
            <w:r/>
            <w:r>
              <w:rPr>
                <w:b w:val="0"/>
              </w:rPr>
              <w:t>Replace three overlapping synthesis devices with one disciplined descriptive cross-dimension pattern statement.</w:t>
            </w:r>
          </w:p>
        </w:tc>
      </w:tr>
      <w:tr>
        <w:tc>
          <w:tcPr>
            <w:tcW w:type="dxa" w:w="2736"/>
          </w:tcPr>
          <w:p>
            <w:r/>
            <w:r>
              <w:rPr>
                <w:b w:val="0"/>
              </w:rPr>
              <w:t>90-Day Priorities / initiatives / owners / KPIs / 30-60-90 plan</w:t>
            </w:r>
          </w:p>
        </w:tc>
        <w:tc>
          <w:tcPr>
            <w:tcW w:type="dxa" w:w="1944"/>
          </w:tcPr>
          <w:p>
            <w:r/>
            <w:r>
              <w:rPr>
                <w:b w:val="0"/>
              </w:rPr>
              <w:t>REMOVE</w:t>
            </w:r>
          </w:p>
        </w:tc>
        <w:tc>
          <w:tcPr>
            <w:tcW w:type="dxa" w:w="1152"/>
          </w:tcPr>
          <w:p>
            <w:r/>
            <w:r>
              <w:rPr>
                <w:b w:val="0"/>
              </w:rPr>
              <w:t>None in standard output</w:t>
            </w:r>
          </w:p>
        </w:tc>
        <w:tc>
          <w:tcPr>
            <w:tcW w:type="dxa" w:w="4968"/>
          </w:tcPr>
          <w:p>
            <w:r/>
            <w:r>
              <w:rPr>
                <w:b w:val="0"/>
              </w:rPr>
              <w:t>Self-assessment evidence cannot support organizational ownership, intervention choice, KPI design, or execution sequencing.</w:t>
            </w:r>
          </w:p>
        </w:tc>
      </w:tr>
      <w:tr>
        <w:tc>
          <w:tcPr>
            <w:tcW w:type="dxa" w:w="2736"/>
          </w:tcPr>
          <w:p>
            <w:r/>
            <w:r>
              <w:rPr>
                <w:b w:val="0"/>
              </w:rPr>
              <w:t>Legacy Why/rationale voice</w:t>
            </w:r>
          </w:p>
        </w:tc>
        <w:tc>
          <w:tcPr>
            <w:tcW w:type="dxa" w:w="1944"/>
          </w:tcPr>
          <w:p>
            <w:r/>
            <w:r>
              <w:rPr>
                <w:b w:val="0"/>
              </w:rPr>
              <w:t>MODIFY / REPURPOSE</w:t>
            </w:r>
          </w:p>
        </w:tc>
        <w:tc>
          <w:tcPr>
            <w:tcW w:type="dxa" w:w="1152"/>
          </w:tcPr>
          <w:p>
            <w:r/>
            <w:r>
              <w:rPr>
                <w:b w:val="0"/>
              </w:rPr>
              <w:t>Job 5</w:t>
            </w:r>
          </w:p>
        </w:tc>
        <w:tc>
          <w:tcPr>
            <w:tcW w:type="dxa" w:w="4968"/>
          </w:tcPr>
          <w:p>
            <w:r/>
            <w:r>
              <w:rPr>
                <w:b w:val="0"/>
              </w:rPr>
              <w:t>Preserve explanatory value only after active rewrite; explain why an evidence-grounded area merits examination without causal, prescriptive, or urgency claims.</w:t>
            </w:r>
          </w:p>
        </w:tc>
      </w:tr>
      <w:tr>
        <w:tc>
          <w:tcPr>
            <w:tcW w:type="dxa" w:w="2736"/>
          </w:tcPr>
          <w:p>
            <w:r/>
            <w:r>
              <w:rPr>
                <w:b w:val="0"/>
              </w:rPr>
              <w:t>Diagnostic Engagement / commercial bridge</w:t>
            </w:r>
          </w:p>
        </w:tc>
        <w:tc>
          <w:tcPr>
            <w:tcW w:type="dxa" w:w="1944"/>
          </w:tcPr>
          <w:p>
            <w:r/>
            <w:r>
              <w:rPr>
                <w:b w:val="0"/>
              </w:rPr>
              <w:t>MODIFY</w:t>
            </w:r>
          </w:p>
        </w:tc>
        <w:tc>
          <w:tcPr>
            <w:tcW w:type="dxa" w:w="1152"/>
          </w:tcPr>
          <w:p>
            <w:r/>
            <w:r>
              <w:rPr>
                <w:b w:val="0"/>
              </w:rPr>
              <w:t>Job 6</w:t>
            </w:r>
          </w:p>
        </w:tc>
        <w:tc>
          <w:tcPr>
            <w:tcW w:type="dxa" w:w="4968"/>
          </w:tcPr>
          <w:p>
            <w:r/>
            <w:r>
              <w:rPr>
                <w:b w:val="0"/>
              </w:rPr>
              <w:t>Preserve honest deeper-analysis framing and service bridge; integrate Gate 2E-3D consent and presentation-integrity requirements.</w:t>
            </w:r>
          </w:p>
        </w:tc>
      </w:tr>
      <w:tr>
        <w:tc>
          <w:tcPr>
            <w:tcW w:type="dxa" w:w="2736"/>
          </w:tcPr>
          <w:p>
            <w:r/>
            <w:r>
              <w:rPr>
                <w:b w:val="0"/>
              </w:rPr>
              <w:t>Contact invitation</w:t>
            </w:r>
          </w:p>
        </w:tc>
        <w:tc>
          <w:tcPr>
            <w:tcW w:type="dxa" w:w="1944"/>
          </w:tcPr>
          <w:p>
            <w:r/>
            <w:r>
              <w:rPr>
                <w:b w:val="0"/>
              </w:rPr>
              <w:t>RETAIN</w:t>
            </w:r>
          </w:p>
        </w:tc>
        <w:tc>
          <w:tcPr>
            <w:tcW w:type="dxa" w:w="1152"/>
          </w:tcPr>
          <w:p>
            <w:r/>
            <w:r>
              <w:rPr>
                <w:b w:val="0"/>
              </w:rPr>
              <w:t>Job 6</w:t>
            </w:r>
          </w:p>
        </w:tc>
        <w:tc>
          <w:tcPr>
            <w:tcW w:type="dxa" w:w="4968"/>
          </w:tcPr>
          <w:p>
            <w:r/>
            <w:r>
              <w:rPr>
                <w:b w:val="0"/>
              </w:rPr>
              <w:t>Low-conflict optional invitation consistent with the permissioned bridge.</w:t>
            </w:r>
          </w:p>
        </w:tc>
      </w:tr>
    </w:tbl>
    <w:p>
      <w:pPr>
        <w:pStyle w:val="Heading2"/>
      </w:pPr>
      <w:r>
        <w:t>12.4 Required Additions to the New Output</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fill="D9E2F3"/>
            <w:vAlign w:val="center"/>
          </w:tcPr>
          <w:p>
            <w:r>
              <w:rPr>
                <w:b/>
              </w:rPr>
            </w:r>
            <w:r>
              <w:rPr>
                <w:b/>
              </w:rPr>
              <w:t>New component</w:t>
            </w:r>
          </w:p>
        </w:tc>
        <w:tc>
          <w:tcPr>
            <w:tcW w:type="dxa" w:w="2160"/>
            <w:shd w:fill="D9E2F3"/>
            <w:vAlign w:val="center"/>
          </w:tcPr>
          <w:p>
            <w:r>
              <w:rPr>
                <w:b/>
              </w:rPr>
            </w:r>
            <w:r>
              <w:rPr>
                <w:b/>
              </w:rPr>
              <w:t>Disposition</w:t>
            </w:r>
          </w:p>
        </w:tc>
        <w:tc>
          <w:tcPr>
            <w:tcW w:type="dxa" w:w="1008"/>
            <w:shd w:fill="D9E2F3"/>
            <w:vAlign w:val="center"/>
          </w:tcPr>
          <w:p>
            <w:r>
              <w:rPr>
                <w:b/>
              </w:rPr>
            </w:r>
            <w:r>
              <w:rPr>
                <w:b/>
              </w:rPr>
              <w:t>Job</w:t>
            </w:r>
          </w:p>
        </w:tc>
        <w:tc>
          <w:tcPr>
            <w:tcW w:type="dxa" w:w="4752"/>
            <w:shd w:fill="D9E2F3"/>
            <w:vAlign w:val="center"/>
          </w:tcPr>
          <w:p>
            <w:r>
              <w:rPr>
                <w:b/>
              </w:rPr>
            </w:r>
            <w:r>
              <w:rPr>
                <w:b/>
              </w:rPr>
              <w:t>Requirement</w:t>
            </w:r>
          </w:p>
        </w:tc>
      </w:tr>
      <w:tr>
        <w:tc>
          <w:tcPr>
            <w:tcW w:type="dxa" w:w="2880"/>
          </w:tcPr>
          <w:p>
            <w:r/>
            <w:r>
              <w:rPr>
                <w:b w:val="0"/>
              </w:rPr>
              <w:t>Question-level SRI / Universal Low-Score Visibility</w:t>
            </w:r>
          </w:p>
        </w:tc>
        <w:tc>
          <w:tcPr>
            <w:tcW w:type="dxa" w:w="2160"/>
          </w:tcPr>
          <w:p>
            <w:r/>
            <w:r>
              <w:rPr>
                <w:b w:val="0"/>
              </w:rPr>
              <w:t>ADD - REQUIRED</w:t>
            </w:r>
          </w:p>
        </w:tc>
        <w:tc>
          <w:tcPr>
            <w:tcW w:type="dxa" w:w="1008"/>
          </w:tcPr>
          <w:p>
            <w:r/>
            <w:r>
              <w:rPr>
                <w:b w:val="0"/>
              </w:rPr>
              <w:t>Job 3</w:t>
            </w:r>
          </w:p>
        </w:tc>
        <w:tc>
          <w:tcPr>
            <w:tcW w:type="dxa" w:w="4752"/>
          </w:tcPr>
          <w:p>
            <w:r/>
            <w:r>
              <w:rPr>
                <w:b w:val="0"/>
              </w:rPr>
              <w:t>Surface qualifying question-level evidence individually; do not convert flag count into severity.</w:t>
            </w:r>
          </w:p>
        </w:tc>
      </w:tr>
      <w:tr>
        <w:tc>
          <w:tcPr>
            <w:tcW w:type="dxa" w:w="2880"/>
          </w:tcPr>
          <w:p>
            <w:r/>
            <w:r>
              <w:rPr>
                <w:b w:val="0"/>
              </w:rPr>
              <w:t>Composite-state disclosure</w:t>
            </w:r>
          </w:p>
        </w:tc>
        <w:tc>
          <w:tcPr>
            <w:tcW w:type="dxa" w:w="2160"/>
          </w:tcPr>
          <w:p>
            <w:r/>
            <w:r>
              <w:rPr>
                <w:b w:val="0"/>
              </w:rPr>
              <w:t>ADD - REQUIRED</w:t>
            </w:r>
          </w:p>
        </w:tc>
        <w:tc>
          <w:tcPr>
            <w:tcW w:type="dxa" w:w="1008"/>
          </w:tcPr>
          <w:p>
            <w:r/>
            <w:r>
              <w:rPr>
                <w:b w:val="0"/>
              </w:rPr>
              <w:t>Job 1</w:t>
            </w:r>
          </w:p>
        </w:tc>
        <w:tc>
          <w:tcPr>
            <w:tcW w:type="dxa" w:w="4752"/>
          </w:tcPr>
          <w:p>
            <w:r/>
            <w:r>
              <w:rPr>
                <w:b w:val="0"/>
              </w:rPr>
              <w:t>Represent Standard / Adjusted / Insufficient Basis correctly. When Adjusted applies, disclose scored-dimension count, Standard-weight coverage, missing dimensions, and original weights.</w:t>
            </w:r>
          </w:p>
        </w:tc>
      </w:tr>
      <w:tr>
        <w:tc>
          <w:tcPr>
            <w:tcW w:type="dxa" w:w="2880"/>
          </w:tcPr>
          <w:p>
            <w:r/>
            <w:r>
              <w:rPr>
                <w:b w:val="0"/>
              </w:rPr>
              <w:t>Evidence-grounded strengths</w:t>
            </w:r>
          </w:p>
        </w:tc>
        <w:tc>
          <w:tcPr>
            <w:tcW w:type="dxa" w:w="2160"/>
          </w:tcPr>
          <w:p>
            <w:r/>
            <w:r>
              <w:rPr>
                <w:b w:val="0"/>
              </w:rPr>
              <w:t>ADD - REQUIRED</w:t>
            </w:r>
          </w:p>
        </w:tc>
        <w:tc>
          <w:tcPr>
            <w:tcW w:type="dxa" w:w="1008"/>
          </w:tcPr>
          <w:p>
            <w:r/>
            <w:r>
              <w:rPr>
                <w:b w:val="0"/>
              </w:rPr>
              <w:t>Job 2</w:t>
            </w:r>
          </w:p>
        </w:tc>
        <w:tc>
          <w:tcPr>
            <w:tcW w:type="dxa" w:w="4752"/>
          </w:tcPr>
          <w:p>
            <w:r/>
            <w:r>
              <w:rPr>
                <w:b w:val="0"/>
              </w:rPr>
              <w:t>Explicitly identify evidence that appears strong and should not automatically be treated as needing change.</w:t>
            </w:r>
          </w:p>
        </w:tc>
      </w:tr>
      <w:tr>
        <w:tc>
          <w:tcPr>
            <w:tcW w:type="dxa" w:w="2880"/>
          </w:tcPr>
          <w:p>
            <w:r/>
            <w:r>
              <w:rPr>
                <w:b w:val="0"/>
              </w:rPr>
              <w:t>Additional evidence needed before deciding</w:t>
            </w:r>
          </w:p>
        </w:tc>
        <w:tc>
          <w:tcPr>
            <w:tcW w:type="dxa" w:w="2160"/>
          </w:tcPr>
          <w:p>
            <w:r/>
            <w:r>
              <w:rPr>
                <w:b w:val="0"/>
              </w:rPr>
              <w:t>ADD - REQUIRED</w:t>
            </w:r>
          </w:p>
        </w:tc>
        <w:tc>
          <w:tcPr>
            <w:tcW w:type="dxa" w:w="1008"/>
          </w:tcPr>
          <w:p>
            <w:r/>
            <w:r>
              <w:rPr>
                <w:b w:val="0"/>
              </w:rPr>
              <w:t>Job 5</w:t>
            </w:r>
          </w:p>
        </w:tc>
        <w:tc>
          <w:tcPr>
            <w:tcW w:type="dxa" w:w="4752"/>
          </w:tcPr>
          <w:p>
            <w:r/>
            <w:r>
              <w:rPr>
                <w:b w:val="0"/>
              </w:rPr>
              <w:t>Name what remains unknown and what deeper evidence should be examined before deciding whether anything should change.</w:t>
            </w:r>
          </w:p>
        </w:tc>
      </w:tr>
      <w:tr>
        <w:tc>
          <w:tcPr>
            <w:tcW w:type="dxa" w:w="2880"/>
          </w:tcPr>
          <w:p>
            <w:r/>
            <w:r>
              <w:rPr>
                <w:b w:val="0"/>
              </w:rPr>
              <w:t>Intentional-Choice-aware examination guidance</w:t>
            </w:r>
          </w:p>
        </w:tc>
        <w:tc>
          <w:tcPr>
            <w:tcW w:type="dxa" w:w="2160"/>
          </w:tcPr>
          <w:p>
            <w:r/>
            <w:r>
              <w:rPr>
                <w:b w:val="0"/>
              </w:rPr>
              <w:t>ADD - REQUIRED</w:t>
            </w:r>
          </w:p>
        </w:tc>
        <w:tc>
          <w:tcPr>
            <w:tcW w:type="dxa" w:w="1008"/>
          </w:tcPr>
          <w:p>
            <w:r/>
            <w:r>
              <w:rPr>
                <w:b w:val="0"/>
              </w:rPr>
              <w:t>Job 5</w:t>
            </w:r>
          </w:p>
        </w:tc>
        <w:tc>
          <w:tcPr>
            <w:tcW w:type="dxa" w:w="4752"/>
          </w:tcPr>
          <w:p>
            <w:r/>
            <w:r>
              <w:rPr>
                <w:b w:val="0"/>
              </w:rPr>
              <w:t>Use stable selected-statement identity joined to fixed methodology metadata so legitimate deliberate non-investment is not presented as a capability deficiency.</w:t>
            </w:r>
          </w:p>
        </w:tc>
      </w:tr>
      <w:tr>
        <w:tc>
          <w:tcPr>
            <w:tcW w:type="dxa" w:w="2880"/>
          </w:tcPr>
          <w:p>
            <w:r/>
            <w:r>
              <w:rPr>
                <w:b w:val="0"/>
              </w:rPr>
              <w:t>Permissioned post-results bridge</w:t>
            </w:r>
          </w:p>
        </w:tc>
        <w:tc>
          <w:tcPr>
            <w:tcW w:type="dxa" w:w="2160"/>
          </w:tcPr>
          <w:p>
            <w:r/>
            <w:r>
              <w:rPr>
                <w:b w:val="0"/>
              </w:rPr>
              <w:t>ADD relative to legacy / layer onto MODIFY</w:t>
            </w:r>
          </w:p>
        </w:tc>
        <w:tc>
          <w:tcPr>
            <w:tcW w:type="dxa" w:w="1008"/>
          </w:tcPr>
          <w:p>
            <w:r/>
            <w:r>
              <w:rPr>
                <w:b w:val="0"/>
              </w:rPr>
              <w:t>Job 6</w:t>
            </w:r>
          </w:p>
        </w:tc>
        <w:tc>
          <w:tcPr>
            <w:tcW w:type="dxa" w:w="4752"/>
          </w:tcPr>
          <w:p>
            <w:r/>
            <w:r>
              <w:rPr>
                <w:b w:val="0"/>
              </w:rPr>
              <w:t>Integrate the Gate 2E-3D recovery/reminder/commercial-consent separation into the post-results transition.</w:t>
            </w:r>
          </w:p>
        </w:tc>
      </w:tr>
    </w:tbl>
    <w:p>
      <w:pPr>
        <w:pStyle w:val="Heading2"/>
      </w:pPr>
      <w:r>
        <w:t>12.5 Weight Visibility Resolution</w:t>
      </w:r>
    </w:p>
    <w:p>
      <w:r>
        <w:t>Dimension weights do not appear in the primary Job 2 seven-dimension differentiation view. Standard weights describe contribution to the Standard PFI Composite, not the institution-specific strategic importance of a dimension. Placing 31.87% beside one dimension and 2.13% beside another in the comparative profile would invite an unsupported strategic-importance inference.</w:t>
      </w:r>
    </w:p>
    <w:p>
      <w:r>
        <w:t>Weight transparency is reassigned to Job 1. An always-available, low-emphasis explanation of how PFI is calculated may disclose Standard weights. Whenever an Adjusted PFI Composite applies, Section 61 disclosure is mandatory and must include all four locked elements: scored-dimension count, Standard PFI weight coverage, missing dimensions, and original weights.</w:t>
      </w:r>
    </w:p>
    <w:p>
      <w:pPr>
        <w:pStyle w:val="Heading2"/>
      </w:pPr>
      <w:r>
        <w:t>12.6 Gate 3C Completeness &amp; Execution Discipline</w:t>
      </w:r>
    </w:p>
    <w:p>
      <w:r>
        <w:t>The Gate 3C completeness audit confirms that all six Gate 3B jobs have at least one concrete output component; every surviving or replacement legacy component maps to a job; redundant legacy components have been consolidated; and required v28/SRI/composite/Intentional-Choice/consent capabilities have explicit output homes.</w:t>
      </w:r>
    </w:p>
    <w:p>
      <w:r>
        <w:t>Thirty-to-sixty-minute value test: the component set is sufficient in architecture because it provides an overall standing, seven-dimension profile, explicit strengths, question-level signals, descriptive cross-dimension pattern, evidence-grounded areas for examination, the additional evidence needed before decisions, and an optional path to deeper analysis. The remaining risk is execution quality, especially Job 5. Generic filler would make the new output feel thinner than the legacy report even if methodologically cleaner.</w:t>
      </w:r>
    </w:p>
    <w:p>
      <w:pPr>
        <w:pStyle w:val="ListParagraph"/>
      </w:pPr>
      <w:r>
        <w:t>Drafting discipline - legacy rationale voice: any surviving Why-style explanation must be actively rewritten so causal, prescriptive, urgency, owner, KPI, or execution-plan language does not re-enter Job 5.</w:t>
      </w:r>
    </w:p>
    <w:p>
      <w:pPr>
        <w:pStyle w:val="ListParagraph"/>
      </w:pPr>
      <w:r>
        <w:t>Composite disclosure discipline: Gate 3D must design against the complete Section 61 disclosure requirement, not weight coverage alone.</w:t>
      </w:r>
    </w:p>
    <w:p>
      <w:pPr>
        <w:pStyle w:val="ListParagraph"/>
      </w:pPr>
      <w:r>
        <w:t>Signal discipline: SRI and Universal Low-Score Visibility remain individual visibility mechanisms; flag count must not become a severity score.</w:t>
      </w:r>
    </w:p>
    <w:p>
      <w:pPr>
        <w:pStyle w:val="ListParagraph"/>
      </w:pPr>
      <w:r>
        <w:t>Path discipline: path metadata remains post-completion interpretive metadata for Job 5 and must not leak Capability/Intentional-Choice labels back into the assessment interface.</w:t>
      </w:r>
    </w:p>
    <w:p>
      <w:r>
        <w:rPr>
          <w:b/>
        </w:rPr>
        <w:t>12.7 Gate 3D - New Output Information Architecture</w:t>
      </w:r>
    </w:p>
    <w:p>
      <w:r>
        <w:t>STATUS: CLOSED</w:t>
      </w:r>
    </w:p>
    <w:p>
      <w:r>
        <w:t>Gate 3D defines the respondent-facing information architecture for the new PFI output. It converts the six locked Gate 3B output jobs and Gate 3C component set into a six-layer results sequence while preserving v28 as the read-only methodological authority. Gate 3D adds output-interpretation rules only where the legacy methodology does not specify respondent-facing interpretation; it does not alter questionnaire content, scoring, weighting, applicability, SRI/Visibility activation, N/A treatment, or Section 60-61 composite mathematics.</w:t>
      </w:r>
    </w:p>
    <w:p>
      <w:r>
        <w:rPr>
          <w:b/>
        </w:rPr>
        <w:t>12.7.1 Six-Layer Output Sequence</w:t>
      </w:r>
    </w:p>
    <w:tbl>
      <w:tblPr>
        <w:tblW w:type="auto" w:w="0"/>
        <w:tblLook w:firstColumn="1" w:firstRow="1" w:lastColumn="0" w:lastRow="0" w:noHBand="0" w:noVBand="1" w:val="04A0"/>
      </w:tblPr>
      <w:tblGrid>
        <w:gridCol w:w="3120"/>
        <w:gridCol w:w="3120"/>
        <w:gridCol w:w="3120"/>
      </w:tblGrid>
      <w:tr>
        <w:tc>
          <w:tcPr>
            <w:tcW w:type="dxa" w:w="3120"/>
          </w:tcPr>
          <w:p>
            <w:r/>
            <w:r>
              <w:rPr>
                <w:b/>
              </w:rPr>
              <w:t>Layer</w:t>
            </w:r>
          </w:p>
        </w:tc>
        <w:tc>
          <w:tcPr>
            <w:tcW w:type="dxa" w:w="3120"/>
          </w:tcPr>
          <w:p>
            <w:r/>
            <w:r>
              <w:rPr>
                <w:b/>
              </w:rPr>
              <w:t>Primary job</w:t>
            </w:r>
          </w:p>
        </w:tc>
        <w:tc>
          <w:tcPr>
            <w:tcW w:type="dxa" w:w="3120"/>
          </w:tcPr>
          <w:p>
            <w:r/>
            <w:r>
              <w:rPr>
                <w:b/>
              </w:rPr>
              <w:t>Locked architecture</w:t>
            </w:r>
          </w:p>
        </w:tc>
      </w:tr>
      <w:tr>
        <w:tc>
          <w:tcPr>
            <w:tcW w:type="dxa" w:w="3120"/>
          </w:tcPr>
          <w:p>
            <w:r/>
            <w:r>
              <w:rPr>
                <w:b w:val="0"/>
              </w:rPr>
              <w:t>1. Result</w:t>
            </w:r>
          </w:p>
        </w:tc>
        <w:tc>
          <w:tcPr>
            <w:tcW w:type="dxa" w:w="3120"/>
          </w:tcPr>
          <w:p>
            <w:r/>
            <w:r>
              <w:rPr>
                <w:b w:val="0"/>
              </w:rPr>
              <w:t>Overall Standing</w:t>
            </w:r>
          </w:p>
        </w:tc>
        <w:tc>
          <w:tcPr>
            <w:tcW w:type="dxa" w:w="3120"/>
          </w:tcPr>
          <w:p>
            <w:r/>
            <w:r>
              <w:rPr>
                <w:b w:val="0"/>
              </w:rPr>
              <w:t>Headline PFI Composite or applicable Section 61 no-composite state; neutral, verdict-free explanation and self-report boundary.</w:t>
            </w:r>
          </w:p>
        </w:tc>
      </w:tr>
      <w:tr>
        <w:tc>
          <w:tcPr>
            <w:tcW w:type="dxa" w:w="3120"/>
          </w:tcPr>
          <w:p>
            <w:r/>
            <w:r>
              <w:rPr>
                <w:b w:val="0"/>
              </w:rPr>
              <w:t>2. Profile</w:t>
            </w:r>
          </w:p>
        </w:tc>
        <w:tc>
          <w:tcPr>
            <w:tcW w:type="dxa" w:w="3120"/>
          </w:tcPr>
          <w:p>
            <w:r/>
            <w:r>
              <w:rPr>
                <w:b w:val="0"/>
              </w:rPr>
              <w:t>Dimension-Level Differentiation</w:t>
            </w:r>
          </w:p>
        </w:tc>
        <w:tc>
          <w:tcPr>
            <w:tcW w:type="dxa" w:w="3120"/>
          </w:tcPr>
          <w:p>
            <w:r/>
            <w:r>
              <w:rPr>
                <w:b w:val="0"/>
              </w:rPr>
              <w:t>All seven dimension scores and relative standing remain visible. Evidence-grounded strengths may be added; Profile remains non-causal and path-agnostic.</w:t>
            </w:r>
          </w:p>
        </w:tc>
      </w:tr>
      <w:tr>
        <w:tc>
          <w:tcPr>
            <w:tcW w:type="dxa" w:w="3120"/>
          </w:tcPr>
          <w:p>
            <w:r/>
            <w:r>
              <w:rPr>
                <w:b w:val="0"/>
              </w:rPr>
              <w:t>3. Signals</w:t>
            </w:r>
          </w:p>
        </w:tc>
        <w:tc>
          <w:tcPr>
            <w:tcW w:type="dxa" w:w="3120"/>
          </w:tcPr>
          <w:p>
            <w:r/>
            <w:r>
              <w:rPr>
                <w:b w:val="0"/>
              </w:rPr>
              <w:t>Signal Visibility Beneath the Average</w:t>
            </w:r>
          </w:p>
        </w:tc>
        <w:tc>
          <w:tcPr>
            <w:tcW w:type="dxa" w:w="3120"/>
          </w:tcPr>
          <w:p>
            <w:r/>
            <w:r>
              <w:rPr>
                <w:b w:val="0"/>
              </w:rPr>
              <w:t>Every qualifying SRI or Universal Low-Score Visibility response remains individually reachable, organized by dimension, without flag-count severity.</w:t>
            </w:r>
          </w:p>
        </w:tc>
      </w:tr>
      <w:tr>
        <w:tc>
          <w:tcPr>
            <w:tcW w:type="dxa" w:w="3120"/>
          </w:tcPr>
          <w:p>
            <w:r/>
            <w:r>
              <w:rPr>
                <w:b w:val="0"/>
              </w:rPr>
              <w:t>4. Pattern</w:t>
            </w:r>
          </w:p>
        </w:tc>
        <w:tc>
          <w:tcPr>
            <w:tcW w:type="dxa" w:w="3120"/>
          </w:tcPr>
          <w:p>
            <w:r/>
            <w:r>
              <w:rPr>
                <w:b w:val="0"/>
              </w:rPr>
              <w:t>Cross-Dimension Pattern</w:t>
            </w:r>
          </w:p>
        </w:tc>
        <w:tc>
          <w:tcPr>
            <w:tcW w:type="dxa" w:w="3120"/>
          </w:tcPr>
          <w:p>
            <w:r/>
            <w:r>
              <w:rPr>
                <w:b w:val="0"/>
              </w:rPr>
              <w:t>Whole-profile descriptive synthesis based on dimension profile plus question-level flags. Describe co-occurrence only; do not imply cause.</w:t>
            </w:r>
          </w:p>
        </w:tc>
      </w:tr>
      <w:tr>
        <w:tc>
          <w:tcPr>
            <w:tcW w:type="dxa" w:w="3120"/>
          </w:tcPr>
          <w:p>
            <w:r/>
            <w:r>
              <w:rPr>
                <w:b w:val="0"/>
              </w:rPr>
              <w:t>5. Examination Agenda</w:t>
            </w:r>
          </w:p>
        </w:tc>
        <w:tc>
          <w:tcPr>
            <w:tcW w:type="dxa" w:w="3120"/>
          </w:tcPr>
          <w:p>
            <w:r/>
            <w:r>
              <w:rPr>
                <w:b w:val="0"/>
              </w:rPr>
              <w:t>Direction for Next Steps</w:t>
            </w:r>
          </w:p>
        </w:tc>
        <w:tc>
          <w:tcPr>
            <w:tcW w:type="dxa" w:w="3120"/>
          </w:tcPr>
          <w:p>
            <w:r/>
            <w:r>
              <w:rPr>
                <w:b w:val="0"/>
              </w:rPr>
              <w:t>Selective question-level and/or dimension-level areas warranting deeper examination, using show / why / next-evidence anatomy without prescribing change.</w:t>
            </w:r>
          </w:p>
        </w:tc>
      </w:tr>
      <w:tr>
        <w:tc>
          <w:tcPr>
            <w:tcW w:type="dxa" w:w="3120"/>
          </w:tcPr>
          <w:p>
            <w:r/>
            <w:r>
              <w:rPr>
                <w:b w:val="0"/>
              </w:rPr>
              <w:t>6. Next Step</w:t>
            </w:r>
          </w:p>
        </w:tc>
        <w:tc>
          <w:tcPr>
            <w:tcW w:type="dxa" w:w="3120"/>
          </w:tcPr>
          <w:p>
            <w:r/>
            <w:r>
              <w:rPr>
                <w:b w:val="0"/>
              </w:rPr>
              <w:t>Bridge to Deeper Engagement</w:t>
            </w:r>
          </w:p>
        </w:tc>
        <w:tc>
          <w:tcPr>
            <w:tcW w:type="dxa" w:w="3120"/>
          </w:tcPr>
          <w:p>
            <w:r/>
            <w:r>
              <w:rPr>
                <w:b w:val="0"/>
              </w:rPr>
              <w:t>Optional continuation after substantive PFI value has already been delivered; integrate Gate 2E-3D consent architecture and never gate standard results.</w:t>
            </w:r>
          </w:p>
        </w:tc>
      </w:tr>
    </w:tbl>
    <w:p>
      <w:r>
        <w:t>Sequence dependency: Signals precedes Pattern because Pattern's locked evidence basis includes question-level flags. Pattern operates at whole-profile granularity; Examination Agenda operates at specific-area granularity. Topical overlap is permitted, but the two layers may not perform the same interpretive job.</w:t>
      </w:r>
    </w:p>
    <w:p>
      <w:r>
        <w:rPr>
          <w:b/>
        </w:rPr>
        <w:t>12.7.2 Profile, Signals, Pattern &amp; Examination Agenda Boundaries</w:t>
      </w:r>
    </w:p>
    <w:p>
      <w:r>
        <w:t>• Profile displays every dimension score unconditionally. Categorical Strength or Examination Agenda treatment is additive and never replaces, suppresses, or conditions display of the underlying score.</w:t>
      </w:r>
    </w:p>
    <w:p>
      <w:r>
        <w:t>• Evidence-grounded strengths use specific respondent evidence. Strength count is evidence-driven rather than fixed; each strength receives brief evidence-specific treatment rather than the full Examination Agenda depth structure.</w:t>
      </w:r>
    </w:p>
    <w:p>
      <w:r>
        <w:t>• Signals preserves every qualifying 0/1 SRI or Universal Low-Score Visibility response. Progressive disclosure is permitted only if every signal remains reachable through ordinary output navigation without consent, contact capture, or another unlock step.</w:t>
      </w:r>
    </w:p>
    <w:p>
      <w:r>
        <w:t>• Pattern describes whole-profile co-occurrence. It may not use causal connectives or language that turns co-occurrence into explanation. Selection logic for which co-occurrences merit narrative treatment remains a Gate 3E content-generation requirement.</w:t>
      </w:r>
    </w:p>
    <w:p>
      <w:r>
        <w:t>• Examination Agenda uses three distinct information types: what the assessment shows, why the specific area is worth examining, and what additional evidence should be examined next. 'Next' means examine evidence, not implement a change.</w:t>
      </w:r>
    </w:p>
    <w:p>
      <w:r>
        <w:t>• Intentional-Choice path never independently causes qualification. Once ordinary evidence qualifies an area, Intentional-Choice evidence may shape interpretation through the locked register shift. Mixed evidence within one entry may therefore require mixed registers.</w:t>
      </w:r>
    </w:p>
    <w:p>
      <w:r>
        <w:rPr>
          <w:b/>
        </w:rPr>
        <w:t>12.7.3 Gate 3D-2A - Output Interpretation Qualification Rules</w:t>
      </w:r>
    </w:p>
    <w:p>
      <w:r>
        <w:t>The following cut-points are Gate 3 output-interpretation parameters. They were calibrated on the underlying 0-5 raw applicable-question average: Strength at &gt;=4.0 and dimension-level Examination Agenda at &lt;=2.0. Under v28 Section 60, the formal Dimension Score is the same average rescaled to 0-100 (Average Applicable Question Score x 20), so the identical cut-points are Dimension Score &gt;=80 and Dimension Score &lt;=40. This is a unit reconciliation only; it does not modify the v28 0-5 question scale, Section 60 dimension scoring, weighting, SRI/Visibility rules, or Section 61 composite methodology. In this Working Record, 'Dimension Score' refers exclusively to the formal 0-100 Section 60 quantity; 'raw applicable-question average' refers to the underlying 0-5 arithmetic when needed for methodological explanation.</w:t>
      </w:r>
    </w:p>
    <w:tbl>
      <w:tblPr>
        <w:tblW w:type="auto" w:w="0"/>
        <w:tblLook w:firstColumn="1" w:firstRow="1" w:lastColumn="0" w:lastRow="0" w:noHBand="0" w:noVBand="1" w:val="04A0"/>
      </w:tblPr>
      <w:tblGrid>
        <w:gridCol w:w="3120"/>
        <w:gridCol w:w="3120"/>
        <w:gridCol w:w="3120"/>
      </w:tblGrid>
      <w:tr>
        <w:tc>
          <w:tcPr>
            <w:tcW w:type="dxa" w:w="3120"/>
          </w:tcPr>
          <w:p>
            <w:r/>
            <w:r>
              <w:rPr>
                <w:b/>
              </w:rPr>
              <w:t>Treatment</w:t>
            </w:r>
          </w:p>
        </w:tc>
        <w:tc>
          <w:tcPr>
            <w:tcW w:type="dxa" w:w="3120"/>
          </w:tcPr>
          <w:p>
            <w:r/>
            <w:r>
              <w:rPr>
                <w:b/>
              </w:rPr>
              <w:t>Qualification</w:t>
            </w:r>
          </w:p>
        </w:tc>
        <w:tc>
          <w:tcPr>
            <w:tcW w:type="dxa" w:w="3120"/>
          </w:tcPr>
          <w:p>
            <w:r/>
            <w:r>
              <w:rPr>
                <w:b/>
              </w:rPr>
              <w:t>Locked boundary</w:t>
            </w:r>
          </w:p>
        </w:tc>
      </w:tr>
      <w:tr>
        <w:tc>
          <w:tcPr>
            <w:tcW w:type="dxa" w:w="3120"/>
          </w:tcPr>
          <w:p>
            <w:r>
              <w:t>Evidence-grounded Strength</w:t>
            </w:r>
          </w:p>
        </w:tc>
        <w:tc>
          <w:tcPr>
            <w:tcW w:type="dxa" w:w="3120"/>
          </w:tcPr>
          <w:p>
            <w:r>
              <w:t>Dimension Score &gt;=80 (equivalent to raw applicable-question average &gt;=4.0) AND no qualifying 0/1 signal exists within that dimension.</w:t>
            </w:r>
          </w:p>
        </w:tc>
        <w:tc>
          <w:tcPr>
            <w:tcW w:type="dxa" w:w="3120"/>
          </w:tcPr>
          <w:p>
            <w:r>
              <w:t>A high average cannot erase a materially weak flagged construct. The actual Dimension Score remains visible even when formal Strength treatment is withheld.</w:t>
            </w:r>
          </w:p>
        </w:tc>
      </w:tr>
      <w:tr>
        <w:tc>
          <w:tcPr>
            <w:tcW w:type="dxa" w:w="3120"/>
          </w:tcPr>
          <w:p>
            <w:r/>
            <w:r>
              <w:rPr>
                <w:b w:val="0"/>
              </w:rPr>
              <w:t>Question-level Examination Agenda</w:t>
            </w:r>
          </w:p>
        </w:tc>
        <w:tc>
          <w:tcPr>
            <w:tcW w:type="dxa" w:w="3120"/>
          </w:tcPr>
          <w:p>
            <w:r/>
            <w:r>
              <w:rPr>
                <w:b w:val="0"/>
              </w:rPr>
              <w:t>Any question generating SRI or Universal Low-Score Visibility at score 0/1.</w:t>
            </w:r>
          </w:p>
        </w:tc>
        <w:tc>
          <w:tcPr>
            <w:tcW w:type="dxa" w:w="3120"/>
          </w:tcPr>
          <w:p>
            <w:r/>
            <w:r>
              <w:rPr>
                <w:b w:val="0"/>
              </w:rPr>
              <w:t>Treatment is narrow and construct-scoped; it does not imply weakness across the rest of the dimension.</w:t>
            </w:r>
          </w:p>
        </w:tc>
      </w:tr>
      <w:tr>
        <w:tc>
          <w:tcPr>
            <w:tcW w:type="dxa" w:w="3120"/>
          </w:tcPr>
          <w:p>
            <w:r>
              <w:t>Dimension-level Examination Agenda</w:t>
            </w:r>
          </w:p>
        </w:tc>
        <w:tc>
          <w:tcPr>
            <w:tcW w:type="dxa" w:w="3120"/>
          </w:tcPr>
          <w:p>
            <w:r>
              <w:t>Dimension Score &lt;=40 (equivalent to raw applicable-question average &lt;=2.0).</w:t>
            </w:r>
          </w:p>
        </w:tc>
        <w:tc>
          <w:tcPr>
            <w:tcW w:type="dxa" w:w="3120"/>
          </w:tcPr>
          <w:p>
            <w:r>
              <w:t>Qualification is independent of flag count, relative rank, dispersion, clustering, weight, and Intentional-Choice path.</w:t>
            </w:r>
          </w:p>
        </w:tc>
      </w:tr>
      <w:tr>
        <w:tc>
          <w:tcPr>
            <w:tcW w:type="dxa" w:w="3120"/>
          </w:tcPr>
          <w:p>
            <w:r>
              <w:t>Neutral categorical band</w:t>
            </w:r>
          </w:p>
        </w:tc>
        <w:tc>
          <w:tcPr>
            <w:tcW w:type="dxa" w:w="3120"/>
          </w:tcPr>
          <w:p>
            <w:r>
              <w:t>Dimension Score &gt;40 and &lt;80 (equivalent to raw applicable-question average &gt;2.0 and &lt;4.0).</w:t>
            </w:r>
          </w:p>
        </w:tc>
        <w:tc>
          <w:tcPr>
            <w:tcW w:type="dxa" w:w="3120"/>
          </w:tcPr>
          <w:p>
            <w:r>
              <w:t>No automatic Strength or dimension-level Examination classification. Profile and Pattern continue to represent the evidence normally.</w:t>
            </w:r>
          </w:p>
        </w:tc>
      </w:tr>
      <w:tr>
        <w:tc>
          <w:tcPr>
            <w:tcW w:type="dxa" w:w="3120"/>
          </w:tcPr>
          <w:p>
            <w:r/>
            <w:r>
              <w:rPr>
                <w:b w:val="0"/>
              </w:rPr>
              <w:t>AO-13</w:t>
            </w:r>
          </w:p>
        </w:tc>
        <w:tc>
          <w:tcPr>
            <w:tcW w:type="dxa" w:w="3120"/>
          </w:tcPr>
          <w:p>
            <w:r/>
            <w:r>
              <w:rPr>
                <w:b w:val="0"/>
              </w:rPr>
              <w:t>Gate 3D locks a six-layer output sequence: Result -&gt; Profile -&gt; Signals -&gt; Pattern -&gt; Examination Agenda -&gt; Next Step. Signals precedes Pattern because Pattern consumes question-level flags; Pattern is whole-profile synthesis while Examination Agenda is specific-area treatment.</w:t>
            </w:r>
          </w:p>
        </w:tc>
        <w:tc>
          <w:tcPr>
            <w:tcW w:type="dxa" w:w="3120"/>
          </w:tcPr>
          <w:p>
            <w:r/>
            <w:r>
              <w:rPr>
                <w:b w:val="0"/>
              </w:rPr>
              <w:t>LOCKED</w:t>
            </w:r>
          </w:p>
        </w:tc>
      </w:tr>
      <w:tr>
        <w:tc>
          <w:tcPr>
            <w:tcW w:type="dxa" w:w="3120"/>
          </w:tcPr>
          <w:p>
            <w:r>
              <w:t>AO-14</w:t>
            </w:r>
          </w:p>
        </w:tc>
        <w:tc>
          <w:tcPr>
            <w:tcW w:type="dxa" w:w="3120"/>
          </w:tcPr>
          <w:p>
            <w:r>
              <w:t>Profile displays all seven Dimension Scores unconditionally. Evidence-grounded Strength requires Dimension Score &gt;=80 (equivalent to raw applicable-question average &gt;=4.0) and no qualifying 0/1 signal within that dimension; categorical treatment is additive and never suppresses the underlying score.</w:t>
            </w:r>
          </w:p>
        </w:tc>
        <w:tc>
          <w:tcPr>
            <w:tcW w:type="dxa" w:w="3120"/>
          </w:tcPr>
          <w:p>
            <w:r>
              <w:t>LOCKED</w:t>
            </w:r>
          </w:p>
        </w:tc>
      </w:tr>
      <w:tr>
        <w:tc>
          <w:tcPr>
            <w:tcW w:type="dxa" w:w="3120"/>
          </w:tcPr>
          <w:p>
            <w:r/>
            <w:r>
              <w:rPr>
                <w:b w:val="0"/>
              </w:rPr>
              <w:t>AO-15</w:t>
            </w:r>
          </w:p>
        </w:tc>
        <w:tc>
          <w:tcPr>
            <w:tcW w:type="dxa" w:w="3120"/>
          </w:tcPr>
          <w:p>
            <w:r/>
            <w:r>
              <w:rPr>
                <w:b w:val="0"/>
              </w:rPr>
              <w:t>Every SRI or Universal Low-Score Visibility response at 0/1 remains individually visible in Signals. Progressive disclosure may organize but never suppress or gate qualifying signals, and flag count never becomes severity.</w:t>
            </w:r>
          </w:p>
        </w:tc>
        <w:tc>
          <w:tcPr>
            <w:tcW w:type="dxa" w:w="3120"/>
          </w:tcPr>
          <w:p>
            <w:r/>
            <w:r>
              <w:rPr>
                <w:b w:val="0"/>
              </w:rPr>
              <w:t>LOCKED</w:t>
            </w:r>
          </w:p>
        </w:tc>
      </w:tr>
      <w:tr>
        <w:tc>
          <w:tcPr>
            <w:tcW w:type="dxa" w:w="3120"/>
          </w:tcPr>
          <w:p>
            <w:r>
              <w:t>AO-16</w:t>
            </w:r>
          </w:p>
        </w:tc>
        <w:tc>
          <w:tcPr>
            <w:tcW w:type="dxa" w:w="3120"/>
          </w:tcPr>
          <w:p>
            <w:r>
              <w:t>Question-level Examination Agenda treatment is triggered by any qualifying 0/1 signal and remains construct-scoped. Dimension-level Examination Agenda treatment is triggered independently by Dimension Score &lt;=40 (equivalent to raw applicable-question average &lt;=2.0) and is independent of rank, dispersion, clustering, weight, flag count, or path.</w:t>
            </w:r>
          </w:p>
        </w:tc>
        <w:tc>
          <w:tcPr>
            <w:tcW w:type="dxa" w:w="3120"/>
          </w:tcPr>
          <w:p>
            <w:r>
              <w:t>LOCKED</w:t>
            </w:r>
          </w:p>
        </w:tc>
      </w:tr>
      <w:tr>
        <w:tc>
          <w:tcPr>
            <w:tcW w:type="dxa" w:w="3120"/>
          </w:tcPr>
          <w:p>
            <w:r>
              <w:t>AO-17</w:t>
            </w:r>
          </w:p>
        </w:tc>
        <w:tc>
          <w:tcPr>
            <w:tcW w:type="dxa" w:w="3120"/>
          </w:tcPr>
          <w:p>
            <w:r>
              <w:t>When a Dimension Score &lt;=40 (equivalent to raw applicable-question average &lt;=2.0) contains flagged questions, the Agenda may consolidate them into one dimension-level entry while Signals preserves each flag independently; consolidated evidence must name distinct constructs specifically. Positive exceptions may be acknowledged without changing qualification.</w:t>
            </w:r>
          </w:p>
        </w:tc>
        <w:tc>
          <w:tcPr>
            <w:tcW w:type="dxa" w:w="3120"/>
          </w:tcPr>
          <w:p>
            <w:r>
              <w:t>LOCKED</w:t>
            </w:r>
          </w:p>
        </w:tc>
      </w:tr>
      <w:tr>
        <w:tc>
          <w:tcPr>
            <w:tcW w:type="dxa" w:w="3120"/>
          </w:tcPr>
          <w:p>
            <w:r/>
            <w:r>
              <w:rPr>
                <w:b w:val="0"/>
              </w:rPr>
              <w:t>AO-18</w:t>
            </w:r>
          </w:p>
        </w:tc>
        <w:tc>
          <w:tcPr>
            <w:tcW w:type="dxa" w:w="3120"/>
          </w:tcPr>
          <w:p>
            <w:r/>
            <w:r>
              <w:rPr>
                <w:b w:val="0"/>
              </w:rPr>
              <w:t>Intentional Choice never independently causes Strength or Examination Agenda qualification. After ordinary evidence qualifies an area, Intentional-Choice evidence may shape interpretation using the locked register shift; mixed evidence may require mixed drafting registers.</w:t>
            </w:r>
          </w:p>
        </w:tc>
        <w:tc>
          <w:tcPr>
            <w:tcW w:type="dxa" w:w="3120"/>
          </w:tcPr>
          <w:p>
            <w:r/>
            <w:r>
              <w:rPr>
                <w:b w:val="0"/>
              </w:rPr>
              <w:t>LOCKED</w:t>
            </w:r>
          </w:p>
        </w:tc>
      </w:tr>
      <w:tr>
        <w:tc>
          <w:tcPr>
            <w:tcW w:type="dxa" w:w="3120"/>
          </w:tcPr>
          <w:p>
            <w:r>
              <w:t>AO-19</w:t>
            </w:r>
          </w:p>
        </w:tc>
        <w:tc>
          <w:tcPr>
            <w:tcW w:type="dxa" w:w="3120"/>
          </w:tcPr>
          <w:p>
            <w:r>
              <w:t>The Strength and dimension-level Examination cut-points were calibrated as raw applicable-question averages of 4.0 and 2.0. Under v28 Section 60, these are exactly Dimension Score &gt;=80 and Dimension Score &lt;=40 on the formal 0-100 scale. This is a unit reconciliation only; the cut-points remain Gate 3 output-interpretation parameters and do not alter v28 scoring, weighting, SRI/Visibility, N/A, or composite methodology. 'Dimension Score' refers exclusively to the formal 0-100 Section 60 quantity; 'raw applicable-question average' refers to the underlying 0-5 arithmetic.</w:t>
            </w:r>
          </w:p>
        </w:tc>
        <w:tc>
          <w:tcPr>
            <w:tcW w:type="dxa" w:w="3120"/>
          </w:tcPr>
          <w:p>
            <w:r>
              <w:t>LOCKED</w:t>
            </w:r>
          </w:p>
        </w:tc>
      </w:tr>
      <w:tr>
        <w:tc>
          <w:tcPr>
            <w:tcW w:type="dxa" w:w="3120"/>
          </w:tcPr>
          <w:p>
            <w:r/>
            <w:r>
              <w:rPr>
                <w:b w:val="0"/>
              </w:rPr>
              <w:t>AO-20</w:t>
            </w:r>
          </w:p>
        </w:tc>
        <w:tc>
          <w:tcPr>
            <w:tcW w:type="dxa" w:w="3120"/>
          </w:tcPr>
          <w:p>
            <w:r/>
            <w:r>
              <w:rPr>
                <w:b w:val="0"/>
              </w:rPr>
              <w:t>Standard Composite presentation uses score-invariant explanatory language, no bands or verdict labels, and an explicit self-report/non-verification disclosure. Standard methodology detail is secondary and always available.</w:t>
            </w:r>
          </w:p>
        </w:tc>
        <w:tc>
          <w:tcPr>
            <w:tcW w:type="dxa" w:w="3120"/>
          </w:tcPr>
          <w:p>
            <w:r/>
            <w:r>
              <w:rPr>
                <w:b w:val="0"/>
              </w:rPr>
              <w:t>LOCKED</w:t>
            </w:r>
          </w:p>
        </w:tc>
      </w:tr>
      <w:tr>
        <w:tc>
          <w:tcPr>
            <w:tcW w:type="dxa" w:w="3120"/>
          </w:tcPr>
          <w:p>
            <w:r/>
            <w:r>
              <w:rPr>
                <w:b w:val="0"/>
              </w:rPr>
              <w:t>AO-21</w:t>
            </w:r>
          </w:p>
        </w:tc>
        <w:tc>
          <w:tcPr>
            <w:tcW w:type="dxa" w:w="3120"/>
          </w:tcPr>
          <w:p>
            <w:r/>
            <w:r>
              <w:rPr>
                <w:b w:val="0"/>
              </w:rPr>
              <w:t>Adjusted PFI Composite must be labeled at the headline and disclose scored-dimension count, Standard-weight coverage, missing dimensions, and original weights. Original weights may use progressive disclosure but remain mandatory and directly accessible from the Adjusted Result.</w:t>
            </w:r>
          </w:p>
        </w:tc>
        <w:tc>
          <w:tcPr>
            <w:tcW w:type="dxa" w:w="3120"/>
          </w:tcPr>
          <w:p>
            <w:r/>
            <w:r>
              <w:rPr>
                <w:b w:val="0"/>
              </w:rPr>
              <w:t>LOCKED</w:t>
            </w:r>
          </w:p>
        </w:tc>
      </w:tr>
      <w:tr>
        <w:tc>
          <w:tcPr>
            <w:tcW w:type="dxa" w:w="3120"/>
          </w:tcPr>
          <w:p>
            <w:r/>
            <w:r>
              <w:rPr>
                <w:b w:val="0"/>
              </w:rPr>
              <w:t>AO-22</w:t>
            </w:r>
          </w:p>
        </w:tc>
        <w:tc>
          <w:tcPr>
            <w:tcW w:type="dxa" w:w="3120"/>
          </w:tcPr>
          <w:p>
            <w:r/>
            <w:r>
              <w:rPr>
                <w:b w:val="0"/>
              </w:rPr>
              <w:t>Insufficient Basis presents no fabricated composite, explains the unmet Section 61 evidence requirement without judging the institution, and continues to expose valid dimension-level output. The state remains specified despite current 49/49 unreachability.</w:t>
            </w:r>
          </w:p>
        </w:tc>
        <w:tc>
          <w:tcPr>
            <w:tcW w:type="dxa" w:w="3120"/>
          </w:tcPr>
          <w:p>
            <w:r/>
            <w:r>
              <w:rPr>
                <w:b w:val="0"/>
              </w:rPr>
              <w:t>LOCKED</w:t>
            </w:r>
          </w:p>
        </w:tc>
      </w:tr>
      <w:tr>
        <w:tc>
          <w:tcPr>
            <w:tcW w:type="dxa" w:w="3120"/>
          </w:tcPr>
          <w:p>
            <w:r/>
            <w:r>
              <w:rPr>
                <w:b w:val="0"/>
              </w:rPr>
              <w:t>AO-23</w:t>
            </w:r>
          </w:p>
        </w:tc>
        <w:tc>
          <w:tcPr>
            <w:tcW w:type="dxa" w:w="3120"/>
          </w:tcPr>
          <w:p>
            <w:r/>
            <w:r>
              <w:rPr>
                <w:b w:val="0"/>
              </w:rPr>
              <w:t>Composite is the summary layer, not a verdict. The sections that follow provide dimension differentiation and, where evidence qualifies, attention-direction. Result-to-output bridge language must not assign attention-direction to Profile alone.</w:t>
            </w:r>
          </w:p>
        </w:tc>
        <w:tc>
          <w:tcPr>
            <w:tcW w:type="dxa" w:w="3120"/>
          </w:tcPr>
          <w:p>
            <w:r/>
            <w:r>
              <w:rPr>
                <w:b w:val="0"/>
              </w:rPr>
              <w:t>LOCKED</w:t>
            </w:r>
          </w:p>
        </w:tc>
      </w:tr>
      <w:tr>
        <w:tc>
          <w:tcPr>
            <w:tcW w:type="dxa" w:w="3120"/>
          </w:tcPr>
          <w:p>
            <w:r/>
            <w:r>
              <w:rPr>
                <w:b w:val="0"/>
              </w:rPr>
              <w:t>AO-24</w:t>
            </w:r>
          </w:p>
        </w:tc>
        <w:tc>
          <w:tcPr>
            <w:tcW w:type="dxa" w:w="3120"/>
          </w:tcPr>
          <w:p>
            <w:r/>
            <w:r>
              <w:rPr>
                <w:b w:val="0"/>
              </w:rPr>
              <w:t>Gate 3D closes. Gate 3E inherits drafting/prototype requirements for Pattern content selection, specific evidence citation in consolidated entries, positive-exception handling, unconditional Profile score display, mixed-register Intentional-Choice handling, and active removal of causal/prescriptive legacy rationale language.</w:t>
            </w:r>
          </w:p>
        </w:tc>
        <w:tc>
          <w:tcPr>
            <w:tcW w:type="dxa" w:w="3120"/>
          </w:tcPr>
          <w:p>
            <w:r/>
            <w:r>
              <w:rPr>
                <w:b w:val="0"/>
              </w:rPr>
              <w:t>GATE CLOSED / CARRYOVER</w:t>
            </w:r>
          </w:p>
        </w:tc>
      </w:tr>
    </w:tbl>
    <w:p>
      <w:r>
        <w:t>Consolidation rule: if a dimension independently qualifies at Dimension Score &lt;=40 (equivalent to raw applicable-question average &lt;=2.0), flagged questions within that dimension remain individually visible in Signals but may be incorporated into the dimension-level Examination Agenda entry rather than duplicated as separate Agenda entries. Consolidation reduces entry count, never evidence specificity: each distinct flagged construct must remain individually named and cited within the consolidated entry.</w:t>
      </w:r>
    </w:p>
    <w:p>
      <w:r>
        <w:t>Positive-exception rule: a qualifying low-scoring dimension may acknowledge standout strong evidence without changing the qualification result or softening the reason the broader dimension warrants examination. No new positive-flag mechanism is created.</w:t>
      </w:r>
    </w:p>
    <w:p>
      <w:r>
        <w:t>Terminology standard: 'Dimension Score' is the operative technical term for the formal 0-100 Section 60 quantity used in qualification logic. 'Raw applicable-question average' refers only to the underlying 0-5 arithmetic when needed to explain the equivalent Gate 3 cut-points. 'Standing' may be used only as respondent-facing descriptive language in Profile.</w:t>
      </w:r>
    </w:p>
    <w:p>
      <w:r>
        <w:rPr>
          <w:b/>
        </w:rPr>
        <w:t>12.7.4 Gate 3D-3 - Result Layer Composite Presentation &amp; Disclosure</w:t>
      </w:r>
    </w:p>
    <w:p>
      <w:r>
        <w:t>Standard Composite. The primary Result view presents the 0-100 number with score-invariant explanatory language. The wording must not vary by score range, because score-varying interpretation would recreate classification bands in another form. Locked construction: 'Your PFI Composite is [score]/100, a weighted summary of your responses across seven payments franchise dimensions. It reflects the responses provided in this assessment and is not an independent verification of your organization.'</w:t>
      </w:r>
    </w:p>
    <w:p>
      <w:r>
        <w:t>Standard methodology detail. Weights, formula detail, and N/A treatment remain in a secondary, always-available 'How PFI is calculated' reference rather than competing with the primary executive result.</w:t>
      </w:r>
    </w:p>
    <w:p>
      <w:r>
        <w:t>Adjusted Composite. 'Adjusted PFI Composite' must bind directly to the headline number. The Result must disclose all four Section 61 elements: scored-dimension count, Standard PFI weight coverage, missing dimensions, and original weights. Scored-dimension count and missing dimensions may be combined into a factual sentence; weight coverage is stated plainly without qualitative characterization. Original weights may use progressive disclosure, but they remain mandatory and directly accessible from the Adjusted Result itself without consent, contact capture, another product, or navigation away from the output.</w:t>
      </w:r>
    </w:p>
    <w:p>
      <w:r>
        <w:t>Insufficient Basis. No composite is fabricated. The Result explains that PFI's methodology requires a minimum level of applicable, scored evidence before calculating a composite and states the applicable count and/or weight-coverage failure using the locked Section 61 gates. The grammatical subject is the methodology requirement, not a judgment about the institution. Valid dimension-level output continues to render. This state remains architecturally required even though it is unreachable at 49/49 under the current locked N/A eligibility set.</w:t>
      </w:r>
    </w:p>
    <w:p>
      <w:r>
        <w:t>Composite-to-output bridge. Standard construction: 'The composite summarizes your results across seven underlying dimensions. The sections that follow show how those dimensions differ and, where the evidence warrants, identify areas for closer attention.' Adjusted construction: 'The composite summarizes the dimensions for which sufficient evidence was available. The sections that follow show how the available dimension evidence differs and, where the evidence warrants, identify areas for closer attention.' Insufficient-Basis adaptation: 'A composite could not be calculated under PFI's methodology. The sections that follow show the available dimension evidence and, where the evidence warrants, identify areas for closer attention.'</w:t>
      </w:r>
    </w:p>
    <w:p>
      <w:r>
        <w:t>Result-layer prohibition: do not add qualitative confidence tiers, completeness scores, verdict labels, benchmark claims, or characterizations of weight coverage. Existing Section 61 quantities may be disclosed as facts but not converted into a second scoring or grading system.</w:t>
      </w:r>
    </w:p>
    <w:p>
      <w:r>
        <w:rPr>
          <w:b/>
        </w:rPr>
        <w:t>12.7.5 Gate 3D Closure Audit</w:t>
      </w:r>
    </w:p>
    <w:p>
      <w:r>
        <w:t>The integrated audit across Gate 3D-1, 3D-2, 3D-2A, and 3D-3 found no remaining contradiction after correcting the Composite-to-output bridge so that attention-direction belongs to the sections that follow rather than to Profile alone. Gate 3E-3 prototype validation later identified a state-precision defect in that bridge wording; v1.8.2 corrects the wording without changing the underlying architecture. No problematic duplication or new v28 methodology was introduced.</w:t>
      </w:r>
    </w:p>
    <w:p>
      <w:r>
        <w:t>Five layers are deterministically populated from locked assessment state and Gate 3D rules: Result, Profile, Signals, Examination Agenda, and Next Step. Pattern has a locked evidence boundary and causal-language constraint, but its content-selection logic - which co-occurrences merit narrative treatment - remains a named Gate 3E content-generation requirement rather than a Gate 3D architecture blocker.</w:t>
      </w:r>
    </w:p>
    <w:p>
      <w:r>
        <w:t>Gate 3D closes with downstream Gate 3E drafting requirements: specific citation inside consolidated multi-signal dimension entries; positive-exception handling where warranted; unconditional Profile score display; mixed-register handling when qualifying evidence includes Intentional-Choice content; active rewriting of any surviving legacy Why voice; and Pattern content-selection logic.</w:t>
      </w:r>
    </w:p>
    <w:p>
      <w:r>
        <w:t>Open-item reconciliation: neutral 0-100 treatment and Standard/Adjusted/Insufficient-Basis architecture are resolved by Gate 3D. Signal and Job 5 presentation are resolved at the architecture level, with final copy/prototype execution remaining in Gate 3E. The commercial bridge was resolved through Gate 3F integration (CLOSED); see Section 12.10. Response-language and visual-design carryovers remain downstream.</w:t>
      </w:r>
    </w:p>
    <w:p>
      <w:r>
        <w:rPr>
          <w:b/>
        </w:rPr>
        <w:t>12.8 Gate 3E - Output Content, Copy Rules &amp; Prototype Validation</w:t>
      </w:r>
    </w:p>
    <w:p>
      <w:r>
        <w:rPr>
          <w:b w:val="0"/>
        </w:rPr>
        <w:t>STATUS: CLOSED - 3E-1, 3E-2, AND 3E-3 CLOSED</w:t>
      </w:r>
    </w:p>
    <w:p>
      <w:r>
        <w:rPr>
          <w:b w:val="0"/>
        </w:rPr>
        <w:t>Gate 3E governs respondent-facing content rules, per-layer state and template architecture, and drafting/prototype validation for the six locked output layers (Result, Profile, Signals, Pattern, Examination Agenda, Next Step). It does not reopen Sections 60-61, weighting, N/A eligibility, SRI/Universal Low-Score Visibility, or the questionnaire.</w:t>
      </w:r>
    </w:p>
    <w:p>
      <w:r>
        <w:rPr>
          <w:b/>
        </w:rPr>
        <w:t>12.8.1 Gate 3E-1 - Output Voice, Evidence &amp; Claim Rules</w:t>
      </w:r>
    </w:p>
    <w:p>
      <w:r>
        <w:rPr>
          <w:b w:val="0"/>
        </w:rPr>
        <w:t>STATUS: CLOSED</w:t>
      </w:r>
    </w:p>
    <w:p>
      <w:r>
        <w:t>Evidence hierarchy (A/B): composite result supports only whole-assessment claims; Dimension Score (the formal 0-100 Section 60 quantity) supports Profile differentiation and Strength/Agenda qualification but never explains why a dimension scored where it did; selected question-level anchor evidence is the only permitted source for Strength echoes and Examination Agenda's 'what your assessment shows'; SRI/Universal Low-Score Visibility support Signals and the question-level Agenda path but may never aggregate into severity; Intentional-Choice evidence supports register-shift interpretation only after an area qualifies through ordinary evidence, and may support Strength; cross-dimension co-occurrence supports Pattern only under Pattern's locked qualitative selection principle.</w:t>
      </w:r>
    </w:p>
    <w:p>
      <w:r>
        <w:rPr>
          <w:b w:val="0"/>
        </w:rPr>
        <w:t>Claim-strength ladder (A, elaborated as B): measurement (a stated value) -&gt; interpretation (restates what a value means using v28's own definitional language, without asserting settled organizational fact) -&gt; attention-direction (names a specific area, tied to specific cited evidence, with a category of further evidence to examine) -&gt; diagnosis/prescription (prohibited: asserting why a condition exists, or recommending a specific action, owner, KPI, or initiative).</w:t>
      </w:r>
    </w:p>
    <w:p>
      <w:r>
        <w:rPr>
          <w:b w:val="0"/>
        </w:rPr>
        <w:t>Layer-specific voice matrix (A, consolidated):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Layer</w:t>
            </w:r>
          </w:p>
        </w:tc>
        <w:tc>
          <w:tcPr>
            <w:tcW w:type="dxa" w:w="1600"/>
          </w:tcPr>
          <w:p>
            <w:r/>
            <w:r>
              <w:rPr>
                <w:b/>
              </w:rPr>
              <w:t>May say</w:t>
            </w:r>
          </w:p>
        </w:tc>
        <w:tc>
          <w:tcPr>
            <w:tcW w:type="dxa" w:w="5400"/>
          </w:tcPr>
          <w:p>
            <w:r/>
            <w:r>
              <w:rPr>
                <w:b/>
              </w:rPr>
              <w:t>Must not say</w:t>
            </w:r>
          </w:p>
        </w:tc>
      </w:tr>
      <w:tr>
        <w:tc>
          <w:tcPr>
            <w:tcW w:type="dxa" w:w="2400"/>
          </w:tcPr>
          <w:p>
            <w:r/>
            <w:r>
              <w:t>Result</w:t>
            </w:r>
          </w:p>
        </w:tc>
        <w:tc>
          <w:tcPr>
            <w:tcW w:type="dxa" w:w="1600"/>
          </w:tcPr>
          <w:p>
            <w:r/>
            <w:r>
              <w:t>Composite value, score-invariant explanation, self-report disclosure, composite state and required Section 61 disclosures</w:t>
            </w:r>
          </w:p>
        </w:tc>
        <w:tc>
          <w:tcPr>
            <w:tcW w:type="dxa" w:w="5400"/>
          </w:tcPr>
          <w:p>
            <w:r/>
            <w:r>
              <w:t>Bands, verdicts, confidence/completeness characterization, anything score-varying</w:t>
            </w:r>
          </w:p>
        </w:tc>
      </w:tr>
      <w:tr>
        <w:tc>
          <w:tcPr>
            <w:tcW w:type="dxa" w:w="2400"/>
          </w:tcPr>
          <w:p>
            <w:r/>
            <w:r>
              <w:t>Profile</w:t>
            </w:r>
          </w:p>
        </w:tc>
        <w:tc>
          <w:tcPr>
            <w:tcW w:type="dxa" w:w="1600"/>
          </w:tcPr>
          <w:p>
            <w:r/>
            <w:r>
              <w:t>Each dimension's score, formal Strength status with cited evidence pattern</w:t>
            </w:r>
          </w:p>
        </w:tc>
        <w:tc>
          <w:tcPr>
            <w:tcW w:type="dxa" w:w="5400"/>
          </w:tcPr>
          <w:p>
            <w:r/>
            <w:r>
              <w:t>Why a dimension scored where it did, attention-direction, weight, verbal ranking/superlatives</w:t>
            </w:r>
          </w:p>
        </w:tc>
      </w:tr>
      <w:tr>
        <w:tc>
          <w:tcPr>
            <w:tcW w:type="dxa" w:w="2400"/>
          </w:tcPr>
          <w:p>
            <w:r/>
            <w:r>
              <w:t>Signals</w:t>
            </w:r>
          </w:p>
        </w:tc>
        <w:tc>
          <w:tcPr>
            <w:tcW w:type="dxa" w:w="1600"/>
          </w:tcPr>
          <w:p>
            <w:r/>
            <w:r>
              <w:t>Which questions qualified, the construct in plain language, dimension-organized locator when density warrants it</w:t>
            </w:r>
          </w:p>
        </w:tc>
        <w:tc>
          <w:tcPr>
            <w:tcW w:type="dxa" w:w="5400"/>
          </w:tcPr>
          <w:p>
            <w:r/>
            <w:r>
              <w:t>Severity, ranking, cause, per-dimension counts</w:t>
            </w:r>
          </w:p>
        </w:tc>
      </w:tr>
      <w:tr>
        <w:tc>
          <w:tcPr>
            <w:tcW w:type="dxa" w:w="2400"/>
          </w:tcPr>
          <w:p>
            <w:r/>
            <w:r>
              <w:t>Pattern</w:t>
            </w:r>
          </w:p>
        </w:tc>
        <w:tc>
          <w:tcPr>
            <w:tcW w:type="dxa" w:w="1600"/>
          </w:tcPr>
          <w:p>
            <w:r/>
            <w:r>
              <w:t>Whole-profile co-occurrence using categorical facts and/or plainly observable relative structure</w:t>
            </w:r>
          </w:p>
        </w:tc>
        <w:tc>
          <w:tcPr>
            <w:tcW w:type="dxa" w:w="5400"/>
          </w:tcPr>
          <w:p>
            <w:r/>
            <w:r>
              <w:t>Cause, prescription, path composition as input, restatement of a single Profile row alone</w:t>
            </w:r>
          </w:p>
        </w:tc>
      </w:tr>
      <w:tr>
        <w:tc>
          <w:tcPr>
            <w:tcW w:type="dxa" w:w="2400"/>
          </w:tcPr>
          <w:p>
            <w:r/>
            <w:r>
              <w:t>Examination Agenda</w:t>
            </w:r>
          </w:p>
        </w:tc>
        <w:tc>
          <w:tcPr>
            <w:tcW w:type="dxa" w:w="1600"/>
          </w:tcPr>
          <w:p>
            <w:r/>
            <w:r>
              <w:t>Cited evidence, construct-level rationale, categories of further evidence, Intentional-Choice register shift</w:t>
            </w:r>
          </w:p>
        </w:tc>
        <w:tc>
          <w:tcPr>
            <w:tcW w:type="dxa" w:w="5400"/>
          </w:tcPr>
          <w:p>
            <w:r/>
            <w:r>
              <w:t>Cause, prescribed action/owner/KPI, evidence blended away in consolidation</w:t>
            </w:r>
          </w:p>
        </w:tc>
      </w:tr>
      <w:tr>
        <w:tc>
          <w:tcPr>
            <w:tcW w:type="dxa" w:w="2400"/>
          </w:tcPr>
          <w:p>
            <w:r/>
            <w:r>
              <w:t>Next Step</w:t>
            </w:r>
          </w:p>
        </w:tc>
        <w:tc>
          <w:tcPr>
            <w:tcW w:type="dxa" w:w="1600"/>
          </w:tcPr>
          <w:p>
            <w:r/>
            <w:r>
              <w:t>Governing principle verbatim, that the prior five layers are already complete, optional continuation</w:t>
            </w:r>
          </w:p>
        </w:tc>
        <w:tc>
          <w:tcPr>
            <w:tcW w:type="dxa" w:w="5400"/>
          </w:tcPr>
          <w:p>
            <w:r/>
            <w:r>
              <w:t>Urgency, incompleteness-implication, consent bundling</w:t>
            </w:r>
          </w:p>
        </w:tc>
      </w:tr>
    </w:tbl>
    <w:p>
      <w:r>
        <w:rPr>
          <w:b w:val="0"/>
        </w:rPr>
        <w:t>Pattern drafting consequence (C): Pattern need not manufacture a multi-dimension relationship merely because the layer is named Pattern. A valid Pattern may consist solely of an already-established categorical observation, including an isolated question-level signal, when no broader cross-dimension relationship is supported by the dimension profile. In that case, Pattern states explicitly that no pronounced broader cross-dimension pattern is evident.</w:t>
      </w:r>
    </w:p>
    <w:p>
      <w:r>
        <w:rPr>
          <w:b w:val="0"/>
        </w:rPr>
        <w:t>Language tests (C), permitted / borderline / prohibited, by boundary tested: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Boundary</w:t>
            </w:r>
          </w:p>
        </w:tc>
        <w:tc>
          <w:tcPr>
            <w:tcW w:type="dxa" w:w="1600"/>
          </w:tcPr>
          <w:p>
            <w:r/>
            <w:r>
              <w:rPr>
                <w:b/>
              </w:rPr>
              <w:t>Permitted</w:t>
            </w:r>
          </w:p>
        </w:tc>
        <w:tc>
          <w:tcPr>
            <w:tcW w:type="dxa" w:w="5400"/>
          </w:tcPr>
          <w:p>
            <w:r/>
            <w:r>
              <w:rPr>
                <w:b/>
              </w:rPr>
              <w:t>Prohibited</w:t>
            </w:r>
          </w:p>
        </w:tc>
      </w:tr>
      <w:tr>
        <w:tc>
          <w:tcPr>
            <w:tcW w:type="dxa" w:w="2400"/>
          </w:tcPr>
          <w:p>
            <w:r/>
            <w:r>
              <w:t>Interpretation vs. diagnosis</w:t>
            </w:r>
          </w:p>
        </w:tc>
        <w:tc>
          <w:tcPr>
            <w:tcW w:type="dxa" w:w="1600"/>
          </w:tcPr>
          <w:p>
            <w:r/>
            <w:r>
              <w:t>“This reflects a level where the capability has been identified but not yet formally implemented.”</w:t>
            </w:r>
          </w:p>
        </w:tc>
        <w:tc>
          <w:tcPr>
            <w:tcW w:type="dxa" w:w="5400"/>
          </w:tcPr>
          <w:p>
            <w:r/>
            <w:r>
              <w:t>“Segment-level price discipline has not yet been consistently applied.”</w:t>
            </w:r>
          </w:p>
        </w:tc>
      </w:tr>
      <w:tr>
        <w:tc>
          <w:tcPr>
            <w:tcW w:type="dxa" w:w="2400"/>
          </w:tcPr>
          <w:p>
            <w:r/>
            <w:r>
              <w:t>Attention-direction vs. prescription</w:t>
            </w:r>
          </w:p>
        </w:tc>
        <w:tc>
          <w:tcPr>
            <w:tcW w:type="dxa" w:w="1600"/>
          </w:tcPr>
          <w:p>
            <w:r/>
            <w:r>
              <w:t>“Examine documented pricing-override criteria and how consistently they are applied across segments.”</w:t>
            </w:r>
          </w:p>
        </w:tc>
        <w:tc>
          <w:tcPr>
            <w:tcW w:type="dxa" w:w="5400"/>
          </w:tcPr>
          <w:p>
            <w:r/>
            <w:r>
              <w:t>“Launch a segment profitability program with defined ownership and KPIs.”</w:t>
            </w:r>
          </w:p>
        </w:tc>
      </w:tr>
      <w:tr>
        <w:tc>
          <w:tcPr>
            <w:tcW w:type="dxa" w:w="2400"/>
          </w:tcPr>
          <w:p>
            <w:r/>
            <w:r>
              <w:t>Co-occurrence vs. causation</w:t>
            </w:r>
          </w:p>
        </w:tc>
        <w:tc>
          <w:tcPr>
            <w:tcW w:type="dxa" w:w="1600"/>
          </w:tcPr>
          <w:p>
            <w:r/>
            <w:r>
              <w:t>“Strength evidence concentrates in commercially-facing dimensions, alongside evidence warranting attention in governance-related dimensions.”</w:t>
            </w:r>
          </w:p>
        </w:tc>
        <w:tc>
          <w:tcPr>
            <w:tcW w:type="dxa" w:w="5400"/>
          </w:tcPr>
          <w:p>
            <w:r/>
            <w:r>
              <w:t>“Weak governance is limiting commercial performance.”</w:t>
            </w:r>
          </w:p>
        </w:tc>
      </w:tr>
      <w:tr>
        <w:tc>
          <w:tcPr>
            <w:tcW w:type="dxa" w:w="2400"/>
          </w:tcPr>
          <w:p>
            <w:r/>
            <w:r>
              <w:t>Result neutrality</w:t>
            </w:r>
          </w:p>
        </w:tc>
        <w:tc>
          <w:tcPr>
            <w:tcW w:type="dxa" w:w="1600"/>
          </w:tcPr>
          <w:p>
            <w:r/>
            <w:r>
              <w:t>“Your PFI Composite is 55/100, a weighted summary of your responses across seven dimensions.”</w:t>
            </w:r>
          </w:p>
        </w:tc>
        <w:tc>
          <w:tcPr>
            <w:tcW w:type="dxa" w:w="5400"/>
          </w:tcPr>
          <w:p>
            <w:r/>
            <w:r>
              <w:t>“Operationally Stable — ready for commercial acceleration.”</w:t>
            </w:r>
          </w:p>
        </w:tc>
      </w:tr>
      <w:tr>
        <w:tc>
          <w:tcPr>
            <w:tcW w:type="dxa" w:w="2400"/>
          </w:tcPr>
          <w:p>
            <w:r/>
            <w:r>
              <w:t>Strength vs. overclaim</w:t>
            </w:r>
          </w:p>
        </w:tc>
        <w:tc>
          <w:tcPr>
            <w:tcW w:type="dxa" w:w="1600"/>
          </w:tcPr>
          <w:p>
            <w:r/>
            <w:r>
              <w:t>“Your evidence in [dimension] reflects [cited anchor], indicating well-evidenced practice in this area.”</w:t>
            </w:r>
          </w:p>
        </w:tc>
        <w:tc>
          <w:tcPr>
            <w:tcW w:type="dxa" w:w="5400"/>
          </w:tcPr>
          <w:p>
            <w:r/>
            <w:r>
              <w:t>“You are best-in-class in this dimension.”</w:t>
            </w:r>
          </w:p>
        </w:tc>
      </w:tr>
    </w:tbl>
    <w:p>
      <w:r>
        <w:rPr>
          <w:b w:val="0"/>
        </w:rPr>
        <w:t>Provenance discipline (C): the four-category claim-strength ladder is locked (A, AO-01). The operational tests distinguishing each category in actual copy, the language-test examples, the Examination Agenda drafting-discipline checklist, and the executive-value standard are new Gate 3E-1 drafting rules, not retroactively locked source language.</w:t>
      </w:r>
    </w:p>
    <w:p>
      <w:r>
        <w:rPr>
          <w:b/>
        </w:rPr>
        <w:t>12.8.2 Gate 3E-2 - Layer State Enumeration &amp; Template Architecture</w:t>
      </w:r>
    </w:p>
    <w:p>
      <w:r>
        <w:rPr>
          <w:b w:val="0"/>
        </w:rPr>
        <w:t>STATUS: CLOSED</w:t>
      </w:r>
    </w:p>
    <w:p>
      <w:r>
        <w:rPr>
          <w:b w:val="0"/>
        </w:rPr>
        <w:t>Gate 3E-2 enumerates the complete content-state space for each of the six locked output layers and defines the structural template/slot architecture required to generate compliant content for each state under the 3E-1 voice rules. Design work proceeded in dependency order (Result, Profile, Signals, Examination Agenda, Pattern, Next Step) since Pattern consumes categorical facts established by Signals and Examination Agenda; respondent-facing output order remains Result, Profile, Signals, Pattern, Examination Agenda, Next Step.</w:t>
      </w:r>
    </w:p>
    <w:p>
      <w:r>
        <w:rPr>
          <w:b/>
        </w:rPr>
        <w:t>Result</w:t>
      </w:r>
    </w:p>
    <w:p>
      <w:r>
        <w:rPr>
          <w:b w:val="0"/>
        </w:rPr>
        <w:t>State enumeration (A/B/C): Result and Profile are separate consumers of the same underlying seven per-dimension evidence-sufficiency outcomes required by Sections 60-61; Result does not derive its state from the Profile output layer. Three Section 61 states govern Result: Standard Composite (all seven dimensions individually clear their own floor); Adjusted Composite (the valid-dimension-count gate and the 65% weight-coverage gate both clear); Insufficient Basis (either gate fails). Count failure and weight failure are mutually exclusive reason variants within Insufficient Basis, not separate states, evaluated in explicit sequence: valid-dimension count is tested first; only if that gate clears is weight coverage tested. Under the current locked N/A architecture, no dimension can fail its own floor, so Adjusted and both Insufficient Basis variants are unreachable downstream manifestations of one shared structural condition, retained for methodological completeness and future-proofing.</w:t>
      </w:r>
    </w:p>
    <w:p>
      <w:r>
        <w:rPr>
          <w:b w:val="0"/>
        </w:rPr>
        <w:t>Template architecture: Standard presents the score, a score-invariant explanatory sentence (identical wording at every value), the self-report/non-verification disclosure, and a bridge to the sections that follow; weights, formula detail, and N/A treatment remain in secondary methodology reference material, not the primary view. Adjusted binds the 'Adjusted PFI Composite' label directly to the score and requires all four Section 61 disclosures together (scored-dimension count, missing dimensions, weight coverage, original weights); original weights may use progressive disclosure but remain unconditionally reachable from the Adjusted result itself, with no consent, contact capture, or other unlock. Insufficient Basis renders no score, states the applicable count-failure or weight-failure reason using the locked Section 61 gates with the methodology requirement as grammatical subject, never the institution, and confirms that valid dimension-level output still renders below.</w:t>
      </w:r>
    </w:p>
    <w:p>
      <w:r>
        <w:rPr>
          <w:b/>
        </w:rPr>
        <w:t>Profile</w:t>
      </w:r>
    </w:p>
    <w:p>
      <w:r>
        <w:t>State enumeration (A/C): three per-dimension states, not more. Formal Strength (Dimension Score &gt;=80, equivalent to raw applicable-question average &gt;=4.0, AND no qualifying 0/1 signal within that dimension); Standard scored dimension (every other case - neutral-band, Agenda-eligible at Dimension Score &lt;=40 / raw average &lt;=2.0, or Dimension Score &gt;=80 / raw average &gt;=4.0 with an embedded signal all render identically through this one path); Dimension-level Insufficient Basis (unreachable at 49/49 for the same structural reason established at Result). Agenda eligibility, embedded-signal presence, N/A usage, ties, and whole-profile dispersion are attributes consumed by other layers and do not branch Profile's template.</w:t>
      </w:r>
    </w:p>
    <w:p>
      <w:r>
        <w:rPr>
          <w:b w:val="0"/>
        </w:rPr>
        <w:t>Template architecture: all seven dimension scores render unconditionally, always, regardless of any other state. A Formal Strength dimension additionally carries a brief evidence-pattern echo. The echo summarizes only commonality actually supported across the underlying evidence; where no coherent common pattern exists, it describes the distinct evidence types present rather than manufacturing a unifying interpretation, and stays materially lighter than Examination Agenda treatment. No verbal ranking or superlative language ('strongest', 'lowest') is used anywhere in Profile. Dimension weight is prohibited. Applicable-question count is removed from the primary template and kept in secondary methodology detail only. No neutral-band filler sentence and no zero-Strength null message are used; the unconditional seven-row display already makes both self-evident. Profile's handoff to Signals is generic and non-targeting.</w:t>
      </w:r>
    </w:p>
    <w:p>
      <w:r>
        <w:rPr>
          <w:b/>
        </w:rPr>
        <w:t>Signals</w:t>
      </w:r>
    </w:p>
    <w:p>
      <w:r>
        <w:rPr>
          <w:b w:val="0"/>
        </w:rPr>
        <w:t>State enumeration (C): two states only - zero signals, and populated. Every qualifying signal renders through one identical per-signal unit regardless of count, category mix, or dimension distribution, so population size and distribution are not separate states. Signals population is completely independent of whether the same evidence is later cited standalone or consolidated in Examination Agenda.</w:t>
      </w:r>
    </w:p>
    <w:p>
      <w:r>
        <w:rPr>
          <w:b w:val="0"/>
        </w:rPr>
        <w:t>Template architecture: each signal displays its question construct in plain language, SRI-or-Universal-Visibility category identification, and the actual selected evidence, grouped by dimension. No severity, ranking, or per-dimension count appears anywhere. A locator/summary view is density-responsive rather than universally required: a single isolated signal or a small set confined to one dimension renders directly with no separate locator; once signals span several dimensions, a brief locator naming which dimensions carry signals earns its place; very large sets add progressive disclosure on top. Progressive disclosure manages density only, never completeness - every qualifying signal remains reachable through ordinary output navigation with no consent, contact capture, or other unlock. Zero signals renders an explicit, scope-limited statement rather than silence or omission. Signals makes established signal facts (dimension, construct, category, selected evidence) available to Pattern at their native granularity; Signals itself performs no inference, aggregation, or cross-dimension synthesis.</w:t>
      </w:r>
    </w:p>
    <w:p>
      <w:r>
        <w:rPr>
          <w:b/>
        </w:rPr>
        <w:t>Examination Agenda</w:t>
      </w:r>
    </w:p>
    <w:p>
      <w:r>
        <w:t>State enumeration (C): two population states (zero entries; populated) and two entry types (question-level, scoped to one flagged construct; dimension-level, scoped to a dimension qualifying at Dimension Score &lt;=40, equivalent to raw applicable-question average &lt;=2.0, which may consolidate flagged questions within it as individually cited evidence). Capability-only, Intentional-Choice, mixed-register, and positive-exception content are attributes handled within the three-job template, not separate entry types or states. A shared dimension container used to organize multiple question-level entries within one non-qualifying dimension is presentation/navigation architecture only; it carries no aggregate qualification, count, rationale, severity, or interpretive meaning of its own, and does not alter qualification logic.</w:t>
      </w:r>
    </w:p>
    <w:p>
      <w:r>
        <w:rPr>
          <w:b w:val="0"/>
        </w:rPr>
        <w:t>Template architecture: every entry carries the locked three-job structure - what your assessment shows (specific cited selected evidence; for dimension-level entries the qualifying score provides context only and never substitutes for citation of the underlying anchors), why it is worth examining (construct-level significance for question-level entries; for dimension-level entries, why the evidenced constructs merit examination without inferring a common cause, organizational condition, or latent explanation from their co-occurrence - multiple anchors may demonstrate breadth of evidence but must not be synthesized into a diagnosis), and what to examine next (categories of further evidence, never an action, initiative, owner, KPI, or prescribed change). A qualifying dimension-level entry may acknowledge a standout positive anchor without changing the qualification result. Where qualifying evidence spans both flagged and Intentional-Choice content, each is addressed in its own sentence and register within the same entry: flagged evidence uses attention-register language; Intentional-Choice evidence states that the response reflects a deliberate choice, sourced from the actual selected anchor, and directs examination toward whether the assumptions supporting that choice continue to hold, without characterizing the decision's quality or correctness. Intentional-Choice evidence never independently causes qualification. Zero entries renders an explicit statement scoped to the evidentiary threshold, not silence. Large Agenda sets use the same density-responsive locator and progressive-disclosure principle locked for Signals.</w:t>
      </w:r>
    </w:p>
    <w:p>
      <w:r>
        <w:rPr>
          <w:b/>
        </w:rPr>
        <w:t>Pattern</w:t>
      </w:r>
    </w:p>
    <w:p>
      <w:r>
        <w:rPr>
          <w:b w:val="0"/>
        </w:rPr>
        <w:t>State enumeration (C): two states - null and populated. Population and combination differences (one signal, several Strengths, a polarized profile combining multiple sources) all render through the same template and do not create separate states.</w:t>
      </w:r>
    </w:p>
    <w:p>
      <w:r>
        <w:rPr>
          <w:b w:val="0"/>
        </w:rPr>
        <w:t>Selection discipline (C): Pattern is constrained drafting judgment, not a computed threshold, gap formula, or clustering algorithm. A candidate statement is eligible only when it is (1) directly supportable from established categorical facts and/or plainly observable relative structure in the seven displayed scores, (2) adds information beyond a single Profile row - either by relating more than one part of the profile, or by introducing an established question-level signal that Profile does not display - and (3) not redundant with a broader eligible statement already selected. Redundancy is suppressed by logical containment, not topical or dimensional overlap: a statement is suppressed only when a broader statement already selected preserves the distinguishing information it would add; a signal or relationship outside any broader statement's scope remains independently eligible. Multiple independent eligible statements may appear together, additively, with no ranking between them. Only the paratactic connectives already locked (alongside, together with, while, and) are permitted; causal or explanatory connectives (because, driven by, reflects, suggests, indicates, consistent with) are prohibited without exception. When no relationship is plainly observable and no categorical fact is available, Pattern states explicitly that no pronounced cross-dimension pattern is evident from the assessment; this null statement means only that the assessment does not support a pronounced Pattern, never that the portfolio is balanced, satisfactory, or requires no further examination.</w:t>
      </w:r>
    </w:p>
    <w:p>
      <w:r>
        <w:rPr>
          <w:b w:val="0"/>
        </w:rPr>
        <w:t>Template architecture: a profile-configuration observation (or additive set of them) drawing on categorical-fact citation and/or relative-structure description; an explicit null statement when neither source supports a statement; no qualification/caveat slot (the grammatical constraint governs each sentence directly rather than being disclaimed after the fact); a generic, non-targeting bridge into Examination Agenda that never names which dimensions warrant closer attention.</w:t>
      </w:r>
    </w:p>
    <w:p>
      <w:r>
        <w:rPr>
          <w:b/>
        </w:rPr>
        <w:t>Next Step</w:t>
      </w:r>
    </w:p>
    <w:p>
      <w:r>
        <w:rPr>
          <w:b w:val="0"/>
        </w:rPr>
        <w:t>State enumeration (C): three initial render states based on two independent variables - identity known/unknown, and contact-level commercial/personal-outreach consent status (not-yet-granted or already-granted). One further, fully independent overlay applies across all three: Assessment Discussion Request status for the specific instance being viewed (not-yet-requested, or submitted). Reminder permission plays no role in Next Step content, since completion terminates unfinished-assessment reminder logic entirely. Agenda entry population has no effect on Next Step content.</w:t>
      </w:r>
    </w:p>
    <w:p>
      <w:r>
        <w:rPr>
          <w:b w:val="0"/>
        </w:rPr>
        <w:t>Assessment Discussion Request (2E-3D extension, locked): a respondent-initiated, assessment-instance-scoped action request, distinct from standing commercial consent, recorded in Section 11.7. It authorizes contact reasonably necessary to respond to a request to discuss that specific assessment; it does not create, revoke, or modify contact-level commercial consent, is independent of recovery and reminder permission, reuses known identity rather than re-requesting it, and does not carry forward from one assessment instance to another.</w:t>
      </w:r>
    </w:p>
    <w:p>
      <w:r>
        <w:rPr>
          <w:b w:val="0"/>
        </w:rPr>
        <w:t>Template architecture: the governing-principle statement, invariant. A discussion-request element (conditional on not-yet-requested; replaced by a receipt acknowledgment once submitted) and a commercial-consent element (conditional on not-yet-granted; replaced by an acknowledgment of existing status once granted) render as parallel, independently actionable choices. 'Alongside' defines their decision relationship, not their eventual visual placement; final visual hierarchy remains for the visual-design gate. Neither element may be presented as a prerequisite, consequence, continuation step, or required companion of the other. Email capture is conditional on identity being unknown and is never re-requested once known; the same identity serves both elements. A minimal privacy/consent explanation and an explicit no-obligation, no-effect-on-results reassurance are required and invariant. No separate 'invitation to continue examining the results' element is included, since it would restate the governing-principle statement and risks implying the report has not already done that job. Content is invariant to Examination Agenda population, so continuation language never varies based on how many areas qualified.</w:t>
      </w:r>
    </w:p>
    <w:p>
      <w:r>
        <w:rPr>
          <w:b/>
        </w:rPr>
        <w:t>12.8.3 Gate 3E-2 Closure Audit</w:t>
      </w:r>
    </w:p>
    <w:p>
      <w:r>
        <w:t>The integrated audit across Result, Profile, Signals, Pattern, Examination Agenda, and Next Step confirmed: state completeness (every input combination accounted for across all six layers); branch exclusivity (no layer has overlapping states for the same input); correct cross-layer dependency direction (Result and Profile as parallel consumers of shared per-dimension evidence-sufficiency data, corrected from an earlier draft framing; Pattern downstream of Signals and Examination Agenda); consistent suppression logic across layers (broader-statement containment in Pattern, consolidation-without-loss in Examination Agenda, no suppression anywhere keyed to count, severity, weight, or rank); consistent null/zero-state handling (Signals, Examination Agenda, and Pattern each state their null condition explicitly and narrowly; Profile and Next Step require no null state given their unconditional/invariant content); unreachable-state handling traced to one shared root cause (the current locked N/A eligibility set) rather than re-derived per layer; consistent terminology ('Dimension Score' as the sole operative technical term; 'standing' reserved for Profile's descriptive language only); and full consistency with the Gate 3E-1 voice rules and claim-strength ladder, confirmed concretely against Examination Agenda's 'why' and 'next' boundaries as the layers doing the most interpretive work. No unresolved issue was found. The Assessment Discussion Request extension approved during this work is recorded in Section 11.7.</w:t>
      </w:r>
    </w:p>
    <w:p>
      <w:r>
        <w:rPr>
          <w:b/>
        </w:rPr>
        <w:t>12.8.4 Gate 3E-3 - Output Drafting &amp; Prototype Validation</w:t>
      </w:r>
    </w:p>
    <w:p>
      <w:pPr>
        <w:spacing w:after="160"/>
      </w:pPr>
      <w:r>
        <w:rPr>
          <w:b/>
          <w:bCs/>
        </w:rPr>
        <w:t xml:space="preserve">STATUS: CLOSED</w:t>
      </w:r>
    </w:p>
    <w:p>
      <w:r>
        <w:rPr>
          <w:b w:val="0"/>
        </w:rPr>
        <w:t>Gate 3E-3 translated the locked Gate 3E-1 voice/evidence rules and Gate 3E-2 state/template architecture into respondent-facing copy across Result, Profile, Signals, Pattern, Examination Agenda, and Next Step. The work used achievable synthetic fixtures, independent arithmetic and methodology checks, a complex end-to-end mixed profile, Executive Review, and final regression verification.</w:t>
      </w:r>
    </w:p>
    <w:p>
      <w:r>
        <w:rPr>
          <w:b w:val="0"/>
        </w:rPr>
        <w:t>Final drafting/prototype disposition: the Standard Result remains score-invariant and preserves the locked self-report boundary; Profile preserves its three-state content model while Strength echoes name specific evidenced practices without expanding into Agenda treatment; Signals remains exhaustive and non-hierarchical with density-responsive navigation; Pattern suppresses Profile-visible geometry when redundant and foregrounds genuinely additive synthesis such as signal/score convergence when supported; Examination Agenda differentiates itself from Signals by carrying construct-level significance and next-evidence questions without causal diagnosis or prescription; Next Step preserves the independent Assessment Discussion Request and commercial-consent choices with no gating or pressure.</w:t>
      </w:r>
    </w:p>
    <w:p>
      <w:r>
        <w:rPr>
          <w:b w:val="0"/>
        </w:rPr>
        <w:t>Executive-review refinement: Profile asymmetry did not justify reopening the locked Profile architecture. Standard scored dimensions remain free of new score-band interpretation. Balance, pacing, and hierarchy are carried to visual/prototype design; any factual wayfinding pointer must remain non-evaluative and may not direct attention by itself.</w:t>
      </w:r>
    </w:p>
    <w:p>
      <w:r>
        <w:rPr>
          <w:b w:val="0"/>
        </w:rPr>
        <w:t>Validation disposition: the synthetic fixture set was rebuilt from explicit integer 0-5 question compositions so every displayed Dimension Score is arithmetically achievable. The complex MP-01 mixed profile validated the seven Dimension Scores, authoritative Standard weights, 74.2 Standard Composite, eight qualifying signals, Strength and Agenda qualification boundaries, mixed Intentional-Choice handling, Pattern discipline, Agenda evidence specificity, and Next Step independence. Independent review and Executive Review findings were reconciled and regression-checked.</w:t>
      </w:r>
    </w:p>
    <w:p>
      <w:r>
        <w:rPr>
          <w:b w:val="0"/>
        </w:rPr>
        <w:t>Final controlled validation artifacts: PFI Gate 3E-3 Output Drafting Prototype v0.3.2 and PFI Gate 3E-3 Mixed-Profile MP-01 v0.3.3. Executive Review v0.3 is CLOSED / PASS. These artifacts are implementation evidence for this Working Record; they do not supersede v28 methodology or this record.</w:t>
      </w:r>
    </w:p>
    <w:p>
      <w:r>
        <w:rPr>
          <w:b w:val="0"/>
        </w:rPr>
        <w:t>Gate 3E-3 closure finding: no unresolved methodology or output-architecture conflict remains. Gate 3E is CLOSED.</w:t>
      </w:r>
    </w:p>
    <w:p>
      <w:pPr>
        <w:pStyle w:val="Heading2"/>
        <w:pageBreakBefore/>
      </w:pPr>
      <w:r>
        <w:t>12.9 Gate 3 Work Sequence</w:t>
      </w:r>
    </w:p>
    <w:tbl>
      <w:tblPr>
        <w:tblW w:type="auto" w:w="0"/>
        <w:jc w:val="center"/>
        <w:tblLook w:firstColumn="1" w:firstRow="1" w:lastColumn="0" w:lastRow="0" w:noHBand="0" w:noVBand="1" w:val="04A0"/>
      </w:tblPr>
      <w:tblGrid>
        <w:gridCol w:w="3120"/>
        <w:gridCol w:w="3120"/>
        <w:gridCol w:w="3120"/>
      </w:tblGrid>
      <w:tr>
        <w:trPr>
          <w:tblHeader w:val="true"/>
        </w:trPr>
        <w:tc>
          <w:tcPr>
            <w:tcW w:type="dxa" w:w="1152"/>
            <w:shd w:fill="D9E2F3"/>
            <w:vAlign w:val="center"/>
          </w:tcPr>
          <w:p>
            <w:r>
              <w:rPr>
                <w:b/>
              </w:rPr>
            </w:r>
            <w:r>
              <w:rPr>
                <w:b/>
              </w:rPr>
              <w:t>Sub-gate</w:t>
            </w:r>
          </w:p>
        </w:tc>
        <w:tc>
          <w:tcPr>
            <w:tcW w:type="dxa" w:w="7776"/>
            <w:shd w:fill="D9E2F3"/>
            <w:vAlign w:val="center"/>
          </w:tcPr>
          <w:p>
            <w:r>
              <w:rPr>
                <w:b/>
              </w:rPr>
            </w:r>
            <w:r>
              <w:rPr>
                <w:b/>
              </w:rPr>
              <w:t>Scope</w:t>
            </w:r>
          </w:p>
        </w:tc>
        <w:tc>
          <w:tcPr>
            <w:tcW w:type="dxa" w:w="1584"/>
            <w:shd w:fill="D9E2F3"/>
            <w:vAlign w:val="center"/>
          </w:tcPr>
          <w:p>
            <w:r>
              <w:rPr>
                <w:b/>
              </w:rPr>
            </w:r>
            <w:r>
              <w:rPr>
                <w:b/>
              </w:rPr>
              <w:t>Status</w:t>
            </w:r>
          </w:p>
        </w:tc>
      </w:tr>
      <w:tr>
        <w:tc>
          <w:tcPr>
            <w:tcW w:type="dxa" w:w="1152"/>
          </w:tcPr>
          <w:p>
            <w:r/>
            <w:r>
              <w:rPr>
                <w:b w:val="0"/>
              </w:rPr>
              <w:t>3A</w:t>
            </w:r>
          </w:p>
        </w:tc>
        <w:tc>
          <w:tcPr>
            <w:tcW w:type="dxa" w:w="7776"/>
          </w:tcPr>
          <w:p>
            <w:r/>
            <w:r>
              <w:rPr>
                <w:b w:val="0"/>
              </w:rPr>
              <w:t>Legacy Output Forensic Baseline</w:t>
            </w:r>
          </w:p>
        </w:tc>
        <w:tc>
          <w:tcPr>
            <w:tcW w:type="dxa" w:w="1584"/>
          </w:tcPr>
          <w:p>
            <w:r/>
            <w:r>
              <w:rPr>
                <w:b w:val="0"/>
              </w:rPr>
              <w:t>CLOSED</w:t>
            </w:r>
          </w:p>
        </w:tc>
      </w:tr>
      <w:tr>
        <w:tc>
          <w:tcPr>
            <w:tcW w:type="dxa" w:w="1152"/>
          </w:tcPr>
          <w:p>
            <w:r/>
            <w:r>
              <w:rPr>
                <w:b w:val="0"/>
              </w:rPr>
              <w:t>3B</w:t>
            </w:r>
          </w:p>
        </w:tc>
        <w:tc>
          <w:tcPr>
            <w:tcW w:type="dxa" w:w="7776"/>
          </w:tcPr>
          <w:p>
            <w:r/>
            <w:r>
              <w:rPr>
                <w:b w:val="0"/>
              </w:rPr>
              <w:t>Output Value Architecture and evidentiary ceilings</w:t>
            </w:r>
          </w:p>
        </w:tc>
        <w:tc>
          <w:tcPr>
            <w:tcW w:type="dxa" w:w="1584"/>
          </w:tcPr>
          <w:p>
            <w:r/>
            <w:r>
              <w:rPr>
                <w:b w:val="0"/>
              </w:rPr>
              <w:t>CLOSED</w:t>
            </w:r>
          </w:p>
        </w:tc>
      </w:tr>
      <w:tr>
        <w:tc>
          <w:tcPr>
            <w:tcW w:type="dxa" w:w="1152"/>
          </w:tcPr>
          <w:p>
            <w:r/>
            <w:r>
              <w:rPr>
                <w:b w:val="0"/>
              </w:rPr>
              <w:t>3C</w:t>
            </w:r>
          </w:p>
        </w:tc>
        <w:tc>
          <w:tcPr>
            <w:tcW w:type="dxa" w:w="7776"/>
          </w:tcPr>
          <w:p>
            <w:r/>
            <w:r>
              <w:rPr>
                <w:b w:val="0"/>
              </w:rPr>
              <w:t>Legacy Component Disposition and gap analysis</w:t>
            </w:r>
          </w:p>
        </w:tc>
        <w:tc>
          <w:tcPr>
            <w:tcW w:type="dxa" w:w="1584"/>
          </w:tcPr>
          <w:p>
            <w:r/>
            <w:r>
              <w:rPr>
                <w:b w:val="0"/>
              </w:rPr>
              <w:t>CLOSED</w:t>
            </w:r>
          </w:p>
        </w:tc>
      </w:tr>
      <w:tr>
        <w:tc>
          <w:tcPr>
            <w:tcW w:type="dxa" w:w="1152"/>
          </w:tcPr>
          <w:p>
            <w:r/>
            <w:r>
              <w:rPr>
                <w:b w:val="0"/>
              </w:rPr>
              <w:t>3D</w:t>
            </w:r>
          </w:p>
        </w:tc>
        <w:tc>
          <w:tcPr>
            <w:tcW w:type="dxa" w:w="7776"/>
          </w:tcPr>
          <w:p>
            <w:r/>
            <w:r>
              <w:rPr>
                <w:b w:val="0"/>
              </w:rPr>
              <w:t>New Output Information Architecture</w:t>
            </w:r>
          </w:p>
        </w:tc>
        <w:tc>
          <w:tcPr>
            <w:tcW w:type="dxa" w:w="1584"/>
          </w:tcPr>
          <w:p>
            <w:r/>
            <w:r>
              <w:t>CLOSED</w:t>
            </w:r>
          </w:p>
        </w:tc>
      </w:tr>
      <w:tr>
        <w:tc>
          <w:tcPr>
            <w:tcW w:type="dxa" w:w="1152"/>
          </w:tcPr>
          <w:p>
            <w:r/>
            <w:r>
              <w:rPr>
                <w:b w:val="0"/>
              </w:rPr>
              <w:t>3E</w:t>
            </w:r>
          </w:p>
        </w:tc>
        <w:tc>
          <w:tcPr>
            <w:tcW w:type="dxa" w:w="7776"/>
          </w:tcPr>
          <w:p>
            <w:r/>
            <w:r>
              <w:rPr>
                <w:b w:val="0"/>
              </w:rPr>
              <w:t>Output content/copy rules, state handling, and prototype validation</w:t>
            </w:r>
          </w:p>
        </w:tc>
        <w:tc>
          <w:tcPr>
            <w:tcW w:type="dxa" w:w="1584"/>
          </w:tcPr>
          <w:p>
            <w:r>
              <w:t>CLOSED</w:t>
            </w:r>
          </w:p>
        </w:tc>
      </w:tr>
      <w:tr>
        <w:tc>
          <w:tcPr>
            <w:tcW w:type="dxa" w:w="1152"/>
          </w:tcPr>
          <w:p>
            <w:r/>
            <w:r>
              <w:rPr>
                <w:b w:val="0"/>
              </w:rPr>
              <w:t>3F</w:t>
            </w:r>
          </w:p>
        </w:tc>
        <w:tc>
          <w:tcPr>
            <w:tcW w:type="dxa" w:w="7776"/>
          </w:tcPr>
          <w:p>
            <w:r/>
            <w:r>
              <w:rPr>
                <w:b w:val="0"/>
              </w:rPr>
              <w:t>Final results experience / commercial bridge integration and Gate 3 closure audit</w:t>
            </w:r>
          </w:p>
        </w:tc>
        <w:tc>
          <w:tcPr>
            <w:tcW w:type="dxa" w:w="1584"/>
          </w:tcPr>
          <w:p>
            <w:r>
              <w:t>CLOSED</w:t>
            </w:r>
          </w:p>
        </w:tc>
      </w:tr>
    </w:tbl>
    <w:p>
      <w:pPr>
        <w:pStyle w:val="Heading2"/>
      </w:pPr>
      <w:r>
        <w:t>12.10 Gate 3F - Commercial Bridge Integration &amp; Gate 3 Closure</w:t>
      </w:r>
    </w:p>
    <w:p>
      <w:r>
        <w:t>STATUS: CLOSED. Gate 3F integrated the optional commercial bridge with the completed six-layer output experience without reopening Gate 3E or Sections 60-61. Gate 3F-A locked three base states (identity unknown / consent not granted; identity known / consent not granted; identity known / consent granted) plus the independent per-instance Assessment Discussion Request overlay. Identity capture is action-triggered when unknown; known identity is reused without permission inference. Assessment Discussion Request remains instance-scoped; commercial consent remains contact-scoped. Either action may be taken alone, both may be taken with one operational identity-entry interaction while preserving two affirmative decisions and two scoped records, or neither may be taken.</w:t>
      </w:r>
    </w:p>
    <w:p>
      <w:r>
        <w:t>Gate 3F-B locked the presentation/copy boundary: the substantive PFI result is complete before optional engagement; Discussion Request may receive somewhat stronger action hierarchy because it is assessment-specific but may not imply necessity; commercial consent remains a separately labeled, affirmative, non-preselected permission; completed actions render acknowledgments rather than repeat solicitations; partial failures preserve successful independent actions; and bridge copy is invariant to composite state/value, Dimension Score, Strength, Signals, Pattern, Examination Agenda population, and implied severity. Gate 3F-C/D then validated the integrated experience across base states, discussion-request overlay states, shared-identity both-action handling, partial failures, multi-instance behavior, severity/content invariance, and consent withdrawal followed by revisit. Final controlled Gate 3F artifacts: Gate 3F-A State / Transition Integration v0.1; Gate 3F-B Commercial Bridge Presentation &amp; Copy Specification v0.1; Gate 3F-C/D Integrated Validation &amp; Gate 3 Closure v0.1.1. Independent review returned PASS: Gate 3F CLOSED; Gate 3 CLOSED. Live respondent comprehension testing was not performed and remains a downstream usability-validation item rather than a Gate 3 closure claim.</w:t>
      </w:r>
    </w:p>
    <w:p>
      <w:pPr>
        <w:pStyle w:val="Heading1"/>
        <w:spacing w:after="160" w:before="320"/>
      </w:pPr>
      <w:r>
        <w:t>14. Decision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8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ID</w:t>
            </w:r>
          </w:p>
        </w:tc>
        <w:tc>
          <w:tcPr>
            <w:tcW w:type="dxa" w:w="5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1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retain / modify / replace discipline against the existing implementation; do not assume preservation or redesign.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1 entry experience dispositions and combined boundary block.</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2 source-code baseline and corrected N/A framing.</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composite zero-imputation and global 10-answer gate.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61 composite rules are read-only implementation inputs.</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ordinary radio-card primitive; modify for full six-anchor hierarchy/density.</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LOCKED primitive; respondent-facing level/name hierarchy SUPERSEDED by AI-18</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 not shorten locked anchors to fit the UI.</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dimension weights from the pre-answer assessment interface.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AI-07</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seven-expanded-questions flow decision to Gate 2D.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AI-08</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questions use one retained radio group; shared Levels 0-2 use the 2A pattern; Levels 3-5 grouped by path.</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AI-09</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 fixed as Capability then Intentional Choice, matching v28's convention across all seven Dual-path questions; not randomized.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AI-10</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Strict visual parity required between path groups; no primacy signal via shading, indentation, or qualifying language.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 between paired path levels requires rendered desktop and mobile prototype validation before implementation is finalized.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limited to G4, B2, B3; each activates via a question-specific structured confirmation derived from its own locked eligibility test, not free text and not a shared generic control.</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presented outside the 0-5 scale as a secondary control; opening its confirmation is non-destructive; only affirmation commits N/A and clears any scored response; selecting a scored response after N/A clears N/A.</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B3 activates independently of B2; no inheritance of N/A state between them under any circumstance.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is explicit tri-state (unanswered / scored / N/A); N/A must bypass Number() coercion entirely; an open-but-unconfirmed confirmation panel is transient UI state, not a fourth answer state.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5.1 corrected: the legacy N/A primitive does not function as previously recorded. The live MR4 N/A path is a confirmed production defect (NaN propagation through the composite), logged separately from the Gate 2C architecture.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Pr>
          <w:p>
            <w:r>
              <w:t>AI-17</w:t>
            </w:r>
          </w:p>
        </w:tc>
        <w:tc>
          <w:tcPr>
            <w:tcW w:type="dxa" w:w="5800"/>
          </w:tcPr>
          <w:p>
            <w:r>
              <w:t>Section 6.2 corrected: nominal styles.css option typography is overridden in the live page by index.html !important rules forcing q-title, q-desc, option-label, and option-sub to 17px Georgia; Gate 2D density validation uses the actual rendered treatment.</w:t>
            </w:r>
          </w:p>
        </w:tc>
        <w:tc>
          <w:tcPr>
            <w:tcW w:type="dxa" w:w="1800"/>
          </w:tcPr>
          <w:p>
            <w:r>
              <w:t>CORRECTION</w:t>
            </w:r>
          </w:p>
        </w:tc>
      </w:tr>
      <w:tr>
        <w:tc>
          <w:tcPr>
            <w:tcW w:type="dxa" w:w="1400"/>
            <w:vAlign w:val="center"/>
          </w:tcPr>
          <w:p>
            <w:pPr>
              <w:spacing w:after="0"/>
            </w:pPr>
            <w:r/>
            <w:r>
              <w:rPr>
                <w:rFonts w:ascii="Aptos" w:hAnsi="Aptos"/>
                <w:b w:val="0"/>
                <w:sz w:val="16"/>
              </w:rPr>
              <w:t>AI-18</w:t>
            </w:r>
          </w:p>
        </w:tc>
        <w:tc>
          <w:tcPr>
            <w:tcW w:type="dxa" w:w="5800"/>
            <w:vAlign w:val="center"/>
          </w:tcPr>
          <w:p>
            <w:pPr>
              <w:spacing w:after="0"/>
            </w:pPr>
            <w:r/>
            <w:r>
              <w:rPr>
                <w:rFonts w:ascii="Aptos" w:hAnsi="Aptos"/>
                <w:b w:val="0"/>
                <w:sz w:val="16"/>
              </w:rPr>
              <w:t>Respondent-facing score numbers, maturity-level names, and Capability/Intentional-Choice labels are hidden. Full locked evidence statements remain visible; standard questions present six statements and the seven Dual-path questions present nine.</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AI-19</w:t>
            </w:r>
          </w:p>
        </w:tc>
        <w:tc>
          <w:tcPr>
            <w:tcW w:type="dxa" w:w="5800"/>
            <w:vAlign w:val="center"/>
          </w:tcPr>
          <w:p>
            <w:pPr>
              <w:spacing w:after="0"/>
            </w:pPr>
            <w:r/>
            <w:r>
              <w:rPr>
                <w:rFonts w:ascii="Aptos" w:hAnsi="Aptos"/>
                <w:b w:val="0"/>
                <w:sz w:val="16"/>
              </w:rPr>
              <w:t>Response statements are displayed as one flat list with no path grouping. Order is randomized independently per question, generated once per assessment instance and persisted for that instance; internal score/path metadata remains fixed and independent of position.</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AI-20</w:t>
            </w:r>
          </w:p>
        </w:tc>
        <w:tc>
          <w:tcPr>
            <w:tcW w:type="dxa" w:w="5800"/>
            <w:vAlign w:val="center"/>
          </w:tcPr>
          <w:p>
            <w:pPr>
              <w:spacing w:after="0"/>
            </w:pPr>
            <w:r/>
            <w:r>
              <w:rPr>
                <w:rFonts w:ascii="Aptos" w:hAnsi="Aptos"/>
                <w:b w:val="0"/>
                <w:sz w:val="16"/>
              </w:rPr>
              <w:t>Respondent instruction locked for response cards: 'Select the one statement that most accurately describes your franchise today.' One mutually exclusive response remains required and may be revised.</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AI-21</w:t>
            </w:r>
          </w:p>
        </w:tc>
        <w:tc>
          <w:tcPr>
            <w:tcW w:type="dxa" w:w="5800"/>
            <w:vAlign w:val="center"/>
          </w:tcPr>
          <w:p>
            <w:pPr>
              <w:spacing w:after="0"/>
            </w:pPr>
            <w:r/>
            <w:r>
              <w:rPr>
                <w:rFonts w:ascii="Aptos" w:hAnsi="Aptos"/>
                <w:b w:val="0"/>
                <w:sz w:val="16"/>
              </w:rPr>
              <w:t>The original Gate 2A visible level/name orientation device and Gate 2B grouped Capability/Intentional-Choice presentation are superseded on usability evidence following methodology review; the six-level scoring model, Dual-path equivalence, one-response rule, and no-compression principle remain unchanged.</w:t>
            </w:r>
          </w:p>
        </w:tc>
        <w:tc>
          <w:tcPr>
            <w:tcW w:type="dxa" w:w="1800"/>
            <w:vAlign w:val="center"/>
          </w:tcPr>
          <w:p>
            <w:pPr>
              <w:spacing w:after="0"/>
            </w:pPr>
            <w:r/>
            <w:r>
              <w:rPr>
                <w:rFonts w:ascii="Aptos" w:hAnsi="Aptos"/>
                <w:b w:val="0"/>
                <w:sz w:val="16"/>
              </w:rPr>
              <w:t>LOCKED / SUPERSESSION</w:t>
            </w:r>
          </w:p>
        </w:tc>
      </w:tr>
      <w:tr>
        <w:tc>
          <w:tcPr>
            <w:tcW w:type="dxa" w:w="1400"/>
            <w:vAlign w:val="center"/>
          </w:tcPr>
          <w:p>
            <w:pPr>
              <w:spacing w:after="0"/>
            </w:pPr>
            <w:r/>
            <w:r>
              <w:rPr>
                <w:rFonts w:ascii="Aptos" w:hAnsi="Aptos"/>
                <w:b w:val="0"/>
                <w:sz w:val="16"/>
              </w:rPr>
              <w:t>AI-22</w:t>
            </w:r>
          </w:p>
        </w:tc>
        <w:tc>
          <w:tcPr>
            <w:tcW w:type="dxa" w:w="5800"/>
            <w:vAlign w:val="center"/>
          </w:tcPr>
          <w:p>
            <w:pPr>
              <w:spacing w:after="0"/>
            </w:pPr>
            <w:r/>
            <w:r>
              <w:rPr>
                <w:rFonts w:ascii="Aptos" w:hAnsi="Aptos"/>
                <w:b w:val="0"/>
                <w:sz w:val="16"/>
              </w:rPr>
              <w:t>B1 Level 3, GE1 Level 3, and MC5 Level 3 require respondent-legible replacement of bare internal question IDs while preserving their locked scope boundaries.</w:t>
            </w:r>
          </w:p>
        </w:tc>
        <w:tc>
          <w:tcPr>
            <w:tcW w:type="dxa" w:w="1800"/>
            <w:vAlign w:val="center"/>
          </w:tcPr>
          <w:p>
            <w:pPr>
              <w:spacing w:after="0"/>
            </w:pPr>
            <w:r/>
            <w:r>
              <w:rPr>
                <w:rFonts w:ascii="Aptos" w:hAnsi="Aptos"/>
                <w:b w:val="0"/>
                <w:sz w:val="16"/>
              </w:rPr>
              <w:t>CARRYOVER</w:t>
            </w:r>
          </w:p>
        </w:tc>
      </w:tr>
      <w:tr>
        <w:tc>
          <w:tcPr>
            <w:tcW w:type="dxa" w:w="1400"/>
            <w:vAlign w:val="center"/>
          </w:tcPr>
          <w:p>
            <w:pPr>
              <w:spacing w:after="0"/>
            </w:pPr>
            <w:r/>
            <w:r>
              <w:rPr>
                <w:rFonts w:ascii="Aptos" w:hAnsi="Aptos"/>
                <w:b w:val="0"/>
                <w:sz w:val="16"/>
              </w:rPr>
              <w:t>AI-23</w:t>
            </w:r>
          </w:p>
        </w:tc>
        <w:tc>
          <w:tcPr>
            <w:tcW w:type="dxa" w:w="5800"/>
            <w:vAlign w:val="center"/>
          </w:tcPr>
          <w:p>
            <w:pPr>
              <w:spacing w:after="0"/>
            </w:pPr>
            <w:r/>
            <w:r>
              <w:rPr>
                <w:rFonts w:ascii="Aptos" w:hAnsi="Aptos"/>
                <w:b w:val="0"/>
                <w:sz w:val="16"/>
              </w:rPr>
              <w:t>Visual engagement is deferred until broader assessment architecture is locked; eventual design should remain aligned with CarlosUrena.com while using stronger hierarchy, rhythm, progression, and interaction feedback.</w:t>
            </w:r>
          </w:p>
        </w:tc>
        <w:tc>
          <w:tcPr>
            <w:tcW w:type="dxa" w:w="1800"/>
            <w:vAlign w:val="center"/>
          </w:tcPr>
          <w:p>
            <w:pPr>
              <w:spacing w:after="0"/>
            </w:pPr>
            <w:r/>
            <w:r>
              <w:rPr>
                <w:rFonts w:ascii="Aptos" w:hAnsi="Aptos"/>
                <w:b w:val="0"/>
                <w:sz w:val="16"/>
              </w:rPr>
              <w:t>CARRYOVER</w:t>
            </w:r>
          </w:p>
        </w:tc>
      </w:tr>
      <w:tr>
        <w:tc>
          <w:tcPr>
            <w:tcW w:type="dxa" w:w="1400"/>
          </w:tcPr>
          <w:p>
            <w:r>
              <w:t>AI-24</w:t>
            </w:r>
          </w:p>
        </w:tc>
        <w:tc>
          <w:tcPr>
            <w:tcW w:type="dxa" w:w="5800"/>
          </w:tcPr>
          <w:p>
            <w:r>
              <w:t>Gate 2D closes on a bounded seven-dimension accordion with one active dimension at a time; opening another dimension collapses the prior one without altering committed answers.</w:t>
            </w:r>
          </w:p>
        </w:tc>
        <w:tc>
          <w:tcPr>
            <w:tcW w:type="dxa" w:w="1800"/>
          </w:tcPr>
          <w:p>
            <w:r>
              <w:t>LOCKED</w:t>
            </w:r>
          </w:p>
        </w:tc>
      </w:tr>
      <w:tr>
        <w:tc>
          <w:tcPr>
            <w:tcW w:type="dxa" w:w="1400"/>
          </w:tcPr>
          <w:p>
            <w:r>
              <w:t>AI-25</w:t>
            </w:r>
          </w:p>
        </w:tc>
        <w:tc>
          <w:tcPr>
            <w:tcW w:type="dxa" w:w="5800"/>
          </w:tcPr>
          <w:p>
            <w:r>
              <w:t>The entire dimension header becomes the open/close control and must make expandability and current state unmistakable; exact visual treatment is deferred.</w:t>
            </w:r>
          </w:p>
        </w:tc>
        <w:tc>
          <w:tcPr>
            <w:tcW w:type="dxa" w:w="1800"/>
          </w:tcPr>
          <w:p>
            <w:r>
              <w:t>LOCKED</w:t>
            </w:r>
          </w:p>
        </w:tc>
      </w:tr>
      <w:tr>
        <w:tc>
          <w:tcPr>
            <w:tcW w:type="dxa" w:w="1400"/>
          </w:tcPr>
          <w:p>
            <w:r>
              <w:t>AI-26</w:t>
            </w:r>
          </w:p>
        </w:tc>
        <w:tc>
          <w:tcPr>
            <w:tcW w:type="dxa" w:w="5800"/>
          </w:tcPr>
          <w:p>
            <w:r>
              <w:t>A dimension-level progress/status slot is reserved in collapsed and expanded navigation states; Gate 2E owns the definition of answered and the calculation behind that indicator.</w:t>
            </w:r>
          </w:p>
        </w:tc>
        <w:tc>
          <w:tcPr>
            <w:tcW w:type="dxa" w:w="1800"/>
          </w:tcPr>
          <w:p>
            <w:r>
              <w:t>LOCKED / 2E DEPENDENCY</w:t>
            </w:r>
          </w:p>
        </w:tc>
      </w:tr>
      <w:tr>
        <w:tc>
          <w:tcPr>
            <w:tcW w:type="dxa" w:w="1400"/>
          </w:tcPr>
          <w:p>
            <w:r>
              <w:t>AI-27</w:t>
            </w:r>
          </w:p>
        </w:tc>
        <w:tc>
          <w:tcPr>
            <w:tcW w:type="dxa" w:w="5800"/>
          </w:tcPr>
          <w:p>
            <w:r>
              <w:t>An open-but-unconfirmed N/A confirmation panel is transient UI state and is discarded when its dimension collapses; the last committed answer is preserved.</w:t>
            </w:r>
          </w:p>
        </w:tc>
        <w:tc>
          <w:tcPr>
            <w:tcW w:type="dxa" w:w="1800"/>
          </w:tcPr>
          <w:p>
            <w:r>
              <w:t>LOCKED</w:t>
            </w:r>
          </w:p>
        </w:tc>
      </w:tr>
      <w:tr>
        <w:tc>
          <w:tcPr>
            <w:tcW w:type="dxa" w:w="1400"/>
          </w:tcPr>
          <w:p>
            <w:r>
              <w:t>AI-28</w:t>
            </w:r>
          </w:p>
        </w:tc>
        <w:tc>
          <w:tcPr>
            <w:tcW w:type="dxa" w:w="5800"/>
          </w:tcPr>
          <w:p>
            <w:r>
              <w:t>A sticky dimension header is not an architectural requirement. Conflicting analytical-density and direct-usability evidence is recorded; later visual/production validation may introduce one if warranted.</w:t>
            </w:r>
          </w:p>
        </w:tc>
        <w:tc>
          <w:tcPr>
            <w:tcW w:type="dxa" w:w="1800"/>
          </w:tcPr>
          <w:p>
            <w:r>
              <w:t>LOCKED WITH QUALIFICATION</w:t>
            </w:r>
          </w:p>
        </w:tc>
      </w:tr>
      <w:tr>
        <w:tc>
          <w:tcPr>
            <w:tcW w:type="dxa" w:w="1400"/>
          </w:tcPr>
          <w:p>
            <w:pPr>
              <w:spacing w:after="0"/>
            </w:pPr>
            <w:r>
              <w:t>AI-29</w:t>
            </w:r>
          </w:p>
        </w:tc>
        <w:tc>
          <w:tcPr>
            <w:tcW w:type="dxa" w:w="5800"/>
          </w:tcPr>
          <w:p>
            <w:pPr>
              <w:spacing w:after="0"/>
            </w:pPr>
            <w:r>
              <w:t>Canonical question state is Unanswered, Scored, or confirmed N/A; transient UI state is not evidence state. Per-question clear-to-blank remains unsupported.</w:t>
            </w:r>
          </w:p>
        </w:tc>
        <w:tc>
          <w:tcPr>
            <w:tcW w:type="dxa" w:w="1800"/>
          </w:tcPr>
          <w:p>
            <w:pPr>
              <w:spacing w:after="0"/>
            </w:pPr>
            <w:r>
              <w:t>LOCKED</w:t>
            </w:r>
          </w:p>
        </w:tc>
      </w:tr>
      <w:tr>
        <w:tc>
          <w:tcPr>
            <w:tcW w:type="dxa" w:w="1400"/>
          </w:tcPr>
          <w:p>
            <w:pPr>
              <w:spacing w:after="0"/>
            </w:pPr>
            <w:r>
              <w:t>AI-30</w:t>
            </w:r>
          </w:p>
        </w:tc>
        <w:tc>
          <w:tcPr>
            <w:tcW w:type="dxa" w:w="5800"/>
          </w:tcPr>
          <w:p>
            <w:pPr>
              <w:spacing w:after="0"/>
            </w:pPr>
            <w:r>
              <w:t>Respondent-facing progress uses Complete, not Answered. Question Complete = Scored or confirmed N/A; dimension Complete = 7/7 committed; assessment Complete = 49/49 committed.</w:t>
            </w:r>
          </w:p>
        </w:tc>
        <w:tc>
          <w:tcPr>
            <w:tcW w:type="dxa" w:w="1800"/>
          </w:tcPr>
          <w:p>
            <w:pPr>
              <w:spacing w:after="0"/>
            </w:pPr>
            <w:r>
              <w:t>LOCKED</w:t>
            </w:r>
          </w:p>
        </w:tc>
      </w:tr>
      <w:tr>
        <w:tc>
          <w:tcPr>
            <w:tcW w:type="dxa" w:w="1400"/>
          </w:tcPr>
          <w:p>
            <w:pPr>
              <w:spacing w:after="0"/>
            </w:pPr>
            <w:r>
              <w:t>AI-31</w:t>
            </w:r>
          </w:p>
        </w:tc>
        <w:tc>
          <w:tcPr>
            <w:tcW w:type="dxa" w:w="5800"/>
          </w:tcPr>
          <w:p>
            <w:pPr>
              <w:spacing w:after="0"/>
            </w:pPr>
            <w:r>
              <w:t>Evidence sufficiency is separate from completion and follows Section 60's four-of-original-seven scored floor. Insufficient Basis is internal during progress and unreachable at 49/49 under the current N/A set.</w:t>
            </w:r>
          </w:p>
        </w:tc>
        <w:tc>
          <w:tcPr>
            <w:tcW w:type="dxa" w:w="1800"/>
          </w:tcPr>
          <w:p>
            <w:pPr>
              <w:spacing w:after="0"/>
            </w:pPr>
            <w:r>
              <w:t>LOCKED</w:t>
            </w:r>
          </w:p>
        </w:tc>
      </w:tr>
      <w:tr>
        <w:tc>
          <w:tcPr>
            <w:tcW w:type="dxa" w:w="1400"/>
          </w:tcPr>
          <w:p>
            <w:pPr>
              <w:spacing w:after="0"/>
            </w:pPr>
            <w:r>
              <w:t>AI-32</w:t>
            </w:r>
          </w:p>
        </w:tc>
        <w:tc>
          <w:tcPr>
            <w:tcW w:type="dxa" w:w="5800"/>
          </w:tcPr>
          <w:p>
            <w:pPr>
              <w:spacing w:after="0"/>
            </w:pPr>
            <w:r>
              <w:t>Respondent-facing results remain gated until 49/49 completion even if Section 61 would permit earlier calculation. Under current N/A eligibility, completion necessarily produces the Standard PFI Composite.</w:t>
            </w:r>
          </w:p>
        </w:tc>
        <w:tc>
          <w:tcPr>
            <w:tcW w:type="dxa" w:w="1800"/>
          </w:tcPr>
          <w:p>
            <w:pPr>
              <w:spacing w:after="0"/>
            </w:pPr>
            <w:r>
              <w:t>LOCKED</w:t>
            </w:r>
          </w:p>
        </w:tc>
      </w:tr>
      <w:tr>
        <w:tc>
          <w:tcPr>
            <w:tcW w:type="dxa" w:w="1400"/>
          </w:tcPr>
          <w:p>
            <w:pPr>
              <w:spacing w:after="0"/>
            </w:pPr>
            <w:r>
              <w:t>AI-33</w:t>
            </w:r>
          </w:p>
        </w:tc>
        <w:tc>
          <w:tcPr>
            <w:tcW w:type="dxa" w:w="5800"/>
          </w:tcPr>
          <w:p>
            <w:pPr>
              <w:spacing w:after="0"/>
            </w:pPr>
            <w:r>
              <w:t>Persist committed state, stable selected-statement ID, and independently randomized per-question order. Randomization freezes when the containing dimension is first opened. Derived progress is recalculated; transient UI is not persisted.</w:t>
            </w:r>
          </w:p>
        </w:tc>
        <w:tc>
          <w:tcPr>
            <w:tcW w:type="dxa" w:w="1800"/>
          </w:tcPr>
          <w:p>
            <w:pPr>
              <w:spacing w:after="0"/>
            </w:pPr>
            <w:r>
              <w:t>LOCKED</w:t>
            </w:r>
          </w:p>
        </w:tc>
      </w:tr>
      <w:tr>
        <w:tc>
          <w:tcPr>
            <w:tcW w:type="dxa" w:w="1400"/>
          </w:tcPr>
          <w:p>
            <w:pPr>
              <w:spacing w:after="0"/>
            </w:pPr>
            <w:r>
              <w:t>AI-34</w:t>
            </w:r>
          </w:p>
        </w:tc>
        <w:tc>
          <w:tcPr>
            <w:tcW w:type="dxa" w:w="5800"/>
          </w:tcPr>
          <w:p>
            <w:pPr>
              <w:spacing w:after="0"/>
            </w:pPr>
            <w:r>
              <w:t>Anonymous continuity must survive browser closure; session-only persistence is insufficient. Persistence must prevent silent stale-state overwrite and cross-device recovery must carry the full persistence contract.</w:t>
            </w:r>
          </w:p>
        </w:tc>
        <w:tc>
          <w:tcPr>
            <w:tcW w:type="dxa" w:w="1800"/>
          </w:tcPr>
          <w:p>
            <w:pPr>
              <w:spacing w:after="0"/>
            </w:pPr>
            <w:r>
              <w:t>LOCKED / IMPLEMENTATION REQUIREMENT</w:t>
            </w:r>
          </w:p>
        </w:tc>
      </w:tr>
      <w:tr>
        <w:tc>
          <w:tcPr>
            <w:tcW w:type="dxa" w:w="1400"/>
          </w:tcPr>
          <w:p>
            <w:pPr>
              <w:spacing w:after="0"/>
            </w:pPr>
            <w:r>
              <w:t>AI-35</w:t>
            </w:r>
          </w:p>
        </w:tc>
        <w:tc>
          <w:tcPr>
            <w:tcW w:type="dxa" w:w="5800"/>
          </w:tcPr>
          <w:p>
            <w:pPr>
              <w:spacing w:after="0"/>
            </w:pPr>
            <w:r>
              <w:t>Resume routes In Progress assessments to the first incomplete question in canonical order and Complete assessments to results. Auto-save is default; no Save button. Starting over requires deliberate confirmation.</w:t>
            </w:r>
          </w:p>
        </w:tc>
        <w:tc>
          <w:tcPr>
            <w:tcW w:type="dxa" w:w="1800"/>
          </w:tcPr>
          <w:p>
            <w:pPr>
              <w:spacing w:after="0"/>
            </w:pPr>
            <w:r>
              <w:t>LOCKED</w:t>
            </w:r>
          </w:p>
        </w:tc>
      </w:tr>
      <w:tr>
        <w:tc>
          <w:tcPr>
            <w:tcW w:type="dxa" w:w="1400"/>
          </w:tcPr>
          <w:p>
            <w:pPr>
              <w:spacing w:after="0"/>
            </w:pPr>
            <w:r>
              <w:t>AI-36</w:t>
            </w:r>
          </w:p>
        </w:tc>
        <w:tc>
          <w:tcPr>
            <w:tcW w:type="dxa" w:w="5800"/>
          </w:tcPr>
          <w:p>
            <w:pPr>
              <w:spacing w:after="0"/>
            </w:pPr>
            <w:r>
              <w:t>Recovery identity, continuation communication, and reminder consent are separate. Contact is optional; recovery does not imply reminders; reminder consent is explicit; declining either cannot affect scoring/output.</w:t>
            </w:r>
          </w:p>
        </w:tc>
        <w:tc>
          <w:tcPr>
            <w:tcW w:type="dxa" w:w="1800"/>
          </w:tcPr>
          <w:p>
            <w:pPr>
              <w:spacing w:after="0"/>
            </w:pPr>
            <w:r>
              <w:t>LOCKED</w:t>
            </w:r>
          </w:p>
        </w:tc>
      </w:tr>
      <w:tr>
        <w:tc>
          <w:tcPr>
            <w:tcW w:type="dxa" w:w="1400"/>
          </w:tcPr>
          <w:p>
            <w:pPr>
              <w:spacing w:after="0"/>
            </w:pPr>
            <w:r>
              <w:t>AI-37</w:t>
            </w:r>
          </w:p>
        </w:tc>
        <w:tc>
          <w:tcPr>
            <w:tcW w:type="dxa" w:w="5800"/>
          </w:tcPr>
          <w:p>
            <w:pPr>
              <w:spacing w:after="0"/>
            </w:pPr>
            <w:r>
              <w:t>Gate 1 privacy copy requires scoped revision after persistence/recovery implementation is selected; anonymous storage location and abandoned-instance retention/expiry remain implementation dependencies.</w:t>
            </w:r>
          </w:p>
        </w:tc>
        <w:tc>
          <w:tcPr>
            <w:tcW w:type="dxa" w:w="1800"/>
          </w:tcPr>
          <w:p>
            <w:pPr>
              <w:spacing w:after="0"/>
            </w:pPr>
            <w:r>
              <w:t>CARRYOVER</w:t>
            </w:r>
          </w:p>
        </w:tc>
      </w:tr>
      <w:tr>
        <w:tc>
          <w:tcPr>
            <w:tcW w:type="dxa" w:w="1400"/>
          </w:tcPr>
          <w:p>
            <w:pPr>
              <w:spacing w:after="0"/>
            </w:pPr>
            <w:r>
              <w:t>AI-38</w:t>
            </w:r>
          </w:p>
        </w:tc>
        <w:tc>
          <w:tcPr>
            <w:tcW w:type="dxa" w:w="5800"/>
          </w:tcPr>
          <w:p>
            <w:pPr>
              <w:spacing w:after="0"/>
            </w:pPr>
            <w:r>
              <w:t>Assessment completion is monotonic within an instance. Legitimate respondent transitions cannot regress Complete to In Progress; concurrency protection must preserve this invariant.</w:t>
            </w:r>
          </w:p>
        </w:tc>
        <w:tc>
          <w:tcPr>
            <w:tcW w:type="dxa" w:w="1800"/>
          </w:tcPr>
          <w:p>
            <w:pPr>
              <w:spacing w:after="0"/>
            </w:pPr>
            <w:r>
              <w:t>LOCKED</w:t>
            </w:r>
          </w:p>
        </w:tc>
      </w:tr>
      <w:tr>
        <w:tc>
          <w:tcPr>
            <w:tcW w:type="dxa" w:w="1400"/>
          </w:tcPr>
          <w:p>
            <w:pPr>
              <w:spacing w:after="0"/>
            </w:pPr>
            <w:r>
              <w:t>AI-39</w:t>
            </w:r>
          </w:p>
        </w:tc>
        <w:tc>
          <w:tcPr>
            <w:tcW w:type="dxa" w:w="5800"/>
          </w:tcPr>
          <w:p>
            <w:pPr>
              <w:spacing w:after="0"/>
            </w:pPr>
            <w:r>
              <w:t>Gate 2 Assessment Interaction is closed: 2A through 2E jointly cover response presentation, N/A, navigation, progress/completion, evidence handoff, revision, persistence, resume, and recovery.</w:t>
            </w:r>
          </w:p>
        </w:tc>
        <w:tc>
          <w:tcPr>
            <w:tcW w:type="dxa" w:w="1800"/>
          </w:tcPr>
          <w:p>
            <w:pPr>
              <w:spacing w:after="0"/>
            </w:pPr>
            <w:r>
              <w:t>GATE CLOSED</w:t>
            </w:r>
          </w:p>
        </w:tc>
      </w:tr>
      <w:tr>
        <w:tc>
          <w:tcPr>
            <w:tcW w:type="dxa" w:w="1400"/>
          </w:tcPr>
          <w:p>
            <w:r>
              <w:t>AI-40</w:t>
            </w:r>
          </w:p>
        </w:tc>
        <w:tc>
          <w:tcPr>
            <w:tcW w:type="dxa" w:w="5800"/>
          </w:tcPr>
          <w:p>
            <w:r>
              <w:t>PFI may create permissioned commercial opportunities through voluntary identity/contact capture, but identity or commercial consent is never required for assessment access, completion, scoring, or standard output.</w:t>
            </w:r>
          </w:p>
        </w:tc>
        <w:tc>
          <w:tcPr>
            <w:tcW w:type="dxa" w:w="1800"/>
          </w:tcPr>
          <w:p>
            <w:r>
              <w:t>LOCKED</w:t>
            </w:r>
          </w:p>
        </w:tc>
      </w:tr>
      <w:tr>
        <w:tc>
          <w:tcPr>
            <w:tcW w:type="dxa" w:w="1400"/>
          </w:tcPr>
          <w:p>
            <w:r>
              <w:t>AI-41</w:t>
            </w:r>
          </w:p>
        </w:tc>
        <w:tc>
          <w:tcPr>
            <w:tcW w:type="dxa" w:w="5800"/>
          </w:tcPr>
          <w:p>
            <w:r>
              <w:t>Contact and Assessment Instance are separate objects. One Contact may relate to multiple Assessment Instances; recovery linkage and reminder consent are assessment-specific, while professional/commercial follow-up consent is contact-level.</w:t>
            </w:r>
          </w:p>
        </w:tc>
        <w:tc>
          <w:tcPr>
            <w:tcW w:type="dxa" w:w="1800"/>
          </w:tcPr>
          <w:p>
            <w:r>
              <w:t>LOCKED</w:t>
            </w:r>
          </w:p>
        </w:tc>
      </w:tr>
      <w:tr>
        <w:tc>
          <w:tcPr>
            <w:tcW w:type="dxa" w:w="1400"/>
          </w:tcPr>
          <w:p>
            <w:r>
              <w:t>AI-42</w:t>
            </w:r>
          </w:p>
        </w:tc>
        <w:tc>
          <w:tcPr>
            <w:tcW w:type="dxa" w:w="5800"/>
          </w:tcPr>
          <w:p>
            <w:r>
              <w:t>Recovery, completion reminders, and professional/commercial follow-up are separate permissions. Recovery cannot imply reminder or commercial consent; optional permissions may be granted or withdrawn later.</w:t>
            </w:r>
          </w:p>
        </w:tc>
        <w:tc>
          <w:tcPr>
            <w:tcW w:type="dxa" w:w="1800"/>
          </w:tcPr>
          <w:p>
            <w:r>
              <w:t>LOCKED</w:t>
            </w:r>
          </w:p>
        </w:tc>
      </w:tr>
      <w:tr>
        <w:tc>
          <w:tcPr>
            <w:tcW w:type="dxa" w:w="1400"/>
          </w:tcPr>
          <w:p>
            <w:r>
              <w:t>AI-43</w:t>
            </w:r>
          </w:p>
        </w:tc>
        <w:tc>
          <w:tcPr>
            <w:tcW w:type="dxa" w:w="5800"/>
          </w:tcPr>
          <w:p>
            <w:r>
              <w:t>Professional/commercial follow-up permission may transparently cover both occasional payments/PFI insights and direct personal follow-up from Carlos Ureña Payments Strategy. Recovery framing may not obscure or bundle that permission.</w:t>
            </w:r>
          </w:p>
        </w:tc>
        <w:tc>
          <w:tcPr>
            <w:tcW w:type="dxa" w:w="1800"/>
          </w:tcPr>
          <w:p>
            <w:r>
              <w:t>LOCKED</w:t>
            </w:r>
          </w:p>
        </w:tc>
      </w:tr>
      <w:tr>
        <w:tc>
          <w:tcPr>
            <w:tcW w:type="dxa" w:w="1400"/>
          </w:tcPr>
          <w:p>
            <w:r>
              <w:t>AI-44</w:t>
            </w:r>
          </w:p>
        </w:tc>
        <w:tc>
          <w:tcPr>
            <w:tcW w:type="dxa" w:w="5800"/>
          </w:tcPr>
          <w:p>
            <w:r>
              <w:t>Deleting a recoverable assessment removes its recovery/server-side linkage but does not automatically erase a surviving anonymous local copy. Local clear/start-new behavior remains a separate deliberate lifecycle action.</w:t>
            </w:r>
          </w:p>
        </w:tc>
        <w:tc>
          <w:tcPr>
            <w:tcW w:type="dxa" w:w="1800"/>
          </w:tcPr>
          <w:p>
            <w:r>
              <w:t>LOCKED</w:t>
            </w:r>
          </w:p>
        </w:tc>
      </w:tr>
      <w:tr>
        <w:tc>
          <w:tcPr>
            <w:tcW w:type="dxa" w:w="1400"/>
          </w:tcPr>
          <w:p>
            <w:r>
              <w:t>AI-45</w:t>
            </w:r>
          </w:p>
        </w:tc>
        <w:tc>
          <w:tcPr>
            <w:tcW w:type="dxa" w:w="5800"/>
          </w:tcPr>
          <w:p>
            <w:r>
              <w:t>Assessment state and contact/consent state are separate associated records; commercial/contact state never changes assessment methodology or scoring. Reminder sends must re-check current completion state at send time.</w:t>
            </w:r>
          </w:p>
        </w:tc>
        <w:tc>
          <w:tcPr>
            <w:tcW w:type="dxa" w:w="1800"/>
          </w:tcPr>
          <w:p>
            <w:r>
              <w:t>LOCKED / IMPLEMENTATION REQUIREMENT</w:t>
            </w:r>
          </w:p>
        </w:tc>
      </w:tr>
      <w:tr>
        <w:tc>
          <w:tcPr>
            <w:tcW w:type="dxa" w:w="1400"/>
          </w:tcPr>
          <w:p>
            <w:r>
              <w:t>AI-46</w:t>
            </w:r>
          </w:p>
        </w:tc>
        <w:tc>
          <w:tcPr>
            <w:tcW w:type="dxa" w:w="5800"/>
          </w:tcPr>
          <w:p>
            <w:r>
              <w:t>Retention/expiry has separate Assessment Instance and Contact/Consent lifecycles. Exact periods, storage location, recovery channel, communications tooling, and privacy copy remain downstream implementation/privacy decisions.</w:t>
            </w:r>
          </w:p>
        </w:tc>
        <w:tc>
          <w:tcPr>
            <w:tcW w:type="dxa" w:w="1800"/>
          </w:tcPr>
          <w:p>
            <w:r>
              <w:t>CARRYOVER</w:t>
            </w:r>
          </w:p>
        </w:tc>
      </w:tr>
      <w:tr>
        <w:tc>
          <w:tcPr>
            <w:tcW w:type="dxa" w:w="1400"/>
          </w:tcPr>
          <w:p>
            <w:r/>
            <w:r>
              <w:rPr>
                <w:b w:val="0"/>
              </w:rPr>
              <w:t>AO-01</w:t>
            </w:r>
          </w:p>
        </w:tc>
        <w:tc>
          <w:tcPr>
            <w:tcW w:type="dxa" w:w="5800"/>
          </w:tcPr>
          <w:p>
            <w:r/>
            <w:r>
              <w:rPr>
                <w:b w:val="0"/>
              </w:rPr>
              <w:t>Gate 3A uses the actual legacy four-page PFI report as the forensic output baseline and evaluates components on the measurement -&gt; interpretation -&gt; attention-direction -&gt; diagnosis -&gt; prescription evidentiary ladder.</w:t>
            </w:r>
          </w:p>
        </w:tc>
        <w:tc>
          <w:tcPr>
            <w:tcW w:type="dxa" w:w="1800"/>
          </w:tcPr>
          <w:p>
            <w:r/>
            <w:r>
              <w:rPr>
                <w:b w:val="0"/>
              </w:rPr>
              <w:t>LOCKED</w:t>
            </w:r>
          </w:p>
        </w:tc>
      </w:tr>
      <w:tr>
        <w:tc>
          <w:tcPr>
            <w:tcW w:type="dxa" w:w="1400"/>
          </w:tcPr>
          <w:p>
            <w:r/>
            <w:r>
              <w:rPr>
                <w:b w:val="0"/>
              </w:rPr>
              <w:t>AO-02</w:t>
            </w:r>
          </w:p>
        </w:tc>
        <w:tc>
          <w:tcPr>
            <w:tcW w:type="dxa" w:w="5800"/>
          </w:tcPr>
          <w:p>
            <w:r/>
            <w:r>
              <w:rPr>
                <w:b w:val="0"/>
              </w:rPr>
              <w:t>Gate 3 output principle: recover specificity from actual respondent evidence; do not manufacture specificity through unsupported diagnosis or prescription.</w:t>
            </w:r>
          </w:p>
        </w:tc>
        <w:tc>
          <w:tcPr>
            <w:tcW w:type="dxa" w:w="1800"/>
          </w:tcPr>
          <w:p>
            <w:r/>
            <w:r>
              <w:rPr>
                <w:b w:val="0"/>
              </w:rPr>
              <w:t>LOCKED</w:t>
            </w:r>
          </w:p>
        </w:tc>
      </w:tr>
      <w:tr>
        <w:tc>
          <w:tcPr>
            <w:tcW w:type="dxa" w:w="1400"/>
          </w:tcPr>
          <w:p>
            <w:r/>
            <w:r>
              <w:rPr>
                <w:b w:val="0"/>
              </w:rPr>
              <w:t>AO-03</w:t>
            </w:r>
          </w:p>
        </w:tc>
        <w:tc>
          <w:tcPr>
            <w:tcW w:type="dxa" w:w="5800"/>
          </w:tcPr>
          <w:p>
            <w:r/>
            <w:r>
              <w:rPr>
                <w:b w:val="0"/>
              </w:rPr>
              <w:t>Gate 3B output jobs are Overall Standing, Dimension-Level Differentiation, Signal Visibility Beneath the Average, Cross-Dimension Pattern, Direction for Next Steps, and Bridge to Deeper Engagement.</w:t>
            </w:r>
          </w:p>
        </w:tc>
        <w:tc>
          <w:tcPr>
            <w:tcW w:type="dxa" w:w="1800"/>
          </w:tcPr>
          <w:p>
            <w:r/>
            <w:r>
              <w:rPr>
                <w:b w:val="0"/>
              </w:rPr>
              <w:t>LOCKED</w:t>
            </w:r>
          </w:p>
        </w:tc>
      </w:tr>
      <w:tr>
        <w:tc>
          <w:tcPr>
            <w:tcW w:type="dxa" w:w="1400"/>
          </w:tcPr>
          <w:p>
            <w:r/>
            <w:r>
              <w:rPr>
                <w:b w:val="0"/>
              </w:rPr>
              <w:t>AO-04</w:t>
            </w:r>
          </w:p>
        </w:tc>
        <w:tc>
          <w:tcPr>
            <w:tcW w:type="dxa" w:w="5800"/>
          </w:tcPr>
          <w:p>
            <w:r/>
            <w:r>
              <w:rPr>
                <w:b w:val="0"/>
              </w:rPr>
              <w:t>Job 2 remains non-causal and path-agnostic; Job 4 describes co-occurrence from dimension profile plus question-level flags and does not adopt path composition as a required input.</w:t>
            </w:r>
          </w:p>
        </w:tc>
        <w:tc>
          <w:tcPr>
            <w:tcW w:type="dxa" w:w="1800"/>
          </w:tcPr>
          <w:p>
            <w:r/>
            <w:r>
              <w:rPr>
                <w:b w:val="0"/>
              </w:rPr>
              <w:t>LOCKED</w:t>
            </w:r>
          </w:p>
        </w:tc>
      </w:tr>
      <w:tr>
        <w:tc>
          <w:tcPr>
            <w:tcW w:type="dxa" w:w="1400"/>
          </w:tcPr>
          <w:p>
            <w:r/>
            <w:r>
              <w:rPr>
                <w:b w:val="0"/>
              </w:rPr>
              <w:t>AO-05</w:t>
            </w:r>
          </w:p>
        </w:tc>
        <w:tc>
          <w:tcPr>
            <w:tcW w:type="dxa" w:w="5800"/>
          </w:tcPr>
          <w:p>
            <w:r/>
            <w:r>
              <w:rPr>
                <w:b w:val="0"/>
              </w:rPr>
              <w:t>Job 5 may derive Capability versus Intentional-Choice path from the already-persisted stable selected-statement ID joined to fixed methodology metadata; no new respondent state is added.</w:t>
            </w:r>
          </w:p>
        </w:tc>
        <w:tc>
          <w:tcPr>
            <w:tcW w:type="dxa" w:w="1800"/>
          </w:tcPr>
          <w:p>
            <w:r/>
            <w:r>
              <w:rPr>
                <w:b w:val="0"/>
              </w:rPr>
              <w:t>LOCKED</w:t>
            </w:r>
          </w:p>
        </w:tc>
      </w:tr>
      <w:tr>
        <w:tc>
          <w:tcPr>
            <w:tcW w:type="dxa" w:w="1400"/>
          </w:tcPr>
          <w:p>
            <w:r/>
            <w:r>
              <w:rPr>
                <w:b w:val="0"/>
              </w:rPr>
              <w:t>AO-06</w:t>
            </w:r>
          </w:p>
        </w:tc>
        <w:tc>
          <w:tcPr>
            <w:tcW w:type="dxa" w:w="5800"/>
          </w:tcPr>
          <w:p>
            <w:r/>
            <w:r>
              <w:rPr>
                <w:b w:val="0"/>
              </w:rPr>
              <w:t>Legacy overall classification bands, dimension maturity/status labels, and the 90-day / owner / KPI / 30-60-90 prescription architecture are removed from the standard PFI output.</w:t>
            </w:r>
          </w:p>
        </w:tc>
        <w:tc>
          <w:tcPr>
            <w:tcW w:type="dxa" w:w="1800"/>
          </w:tcPr>
          <w:p>
            <w:r/>
            <w:r>
              <w:rPr>
                <w:b w:val="0"/>
              </w:rPr>
              <w:t>LOCKED</w:t>
            </w:r>
          </w:p>
        </w:tc>
      </w:tr>
      <w:tr>
        <w:tc>
          <w:tcPr>
            <w:tcW w:type="dxa" w:w="1400"/>
          </w:tcPr>
          <w:p>
            <w:r/>
            <w:r>
              <w:rPr>
                <w:b w:val="0"/>
              </w:rPr>
              <w:t>AO-07</w:t>
            </w:r>
          </w:p>
        </w:tc>
        <w:tc>
          <w:tcPr>
            <w:tcW w:type="dxa" w:w="5800"/>
          </w:tcPr>
          <w:p>
            <w:r/>
            <w:r>
              <w:rPr>
                <w:b w:val="0"/>
              </w:rPr>
              <w:t>Legacy weak-area lists are consolidated into evidence-grounded areas warranting deeper examination; legacy Immediate Focus / Executive Diagnosis / Strategic Takeaway are consolidated into one descriptive cross-dimension pattern component.</w:t>
            </w:r>
          </w:p>
        </w:tc>
        <w:tc>
          <w:tcPr>
            <w:tcW w:type="dxa" w:w="1800"/>
          </w:tcPr>
          <w:p>
            <w:r/>
            <w:r>
              <w:rPr>
                <w:b w:val="0"/>
              </w:rPr>
              <w:t>LOCKED</w:t>
            </w:r>
          </w:p>
        </w:tc>
      </w:tr>
      <w:tr>
        <w:tc>
          <w:tcPr>
            <w:tcW w:type="dxa" w:w="1400"/>
          </w:tcPr>
          <w:p>
            <w:r/>
            <w:r>
              <w:rPr>
                <w:b w:val="0"/>
              </w:rPr>
              <w:t>AO-08</w:t>
            </w:r>
          </w:p>
        </w:tc>
        <w:tc>
          <w:tcPr>
            <w:tcW w:type="dxa" w:w="5800"/>
          </w:tcPr>
          <w:p>
            <w:r/>
            <w:r>
              <w:rPr>
                <w:b w:val="0"/>
              </w:rPr>
              <w:t>New output must add question-level SRI/Universal Low-Score Visibility, evidence-grounded strengths, explicit additional-evidence requirements, Intentional-Choice-aware Job 5 interpretation, and complete composite-state disclosure.</w:t>
            </w:r>
          </w:p>
        </w:tc>
        <w:tc>
          <w:tcPr>
            <w:tcW w:type="dxa" w:w="1800"/>
          </w:tcPr>
          <w:p>
            <w:r/>
            <w:r>
              <w:rPr>
                <w:b w:val="0"/>
              </w:rPr>
              <w:t>LOCKED</w:t>
            </w:r>
          </w:p>
        </w:tc>
      </w:tr>
      <w:tr>
        <w:tc>
          <w:tcPr>
            <w:tcW w:type="dxa" w:w="1400"/>
          </w:tcPr>
          <w:p>
            <w:r/>
            <w:r>
              <w:rPr>
                <w:b w:val="0"/>
              </w:rPr>
              <w:t>AO-09</w:t>
            </w:r>
          </w:p>
        </w:tc>
        <w:tc>
          <w:tcPr>
            <w:tcW w:type="dxa" w:w="5800"/>
          </w:tcPr>
          <w:p>
            <w:r/>
            <w:r>
              <w:rPr>
                <w:b w:val="0"/>
              </w:rPr>
              <w:t>Dimension weights are removed from the primary Job 2 profile and reassigned to Job 1 methodology/composite disclosure; Standard weights are not institution-specific strategic-importance signals.</w:t>
            </w:r>
          </w:p>
        </w:tc>
        <w:tc>
          <w:tcPr>
            <w:tcW w:type="dxa" w:w="1800"/>
          </w:tcPr>
          <w:p>
            <w:r/>
            <w:r>
              <w:rPr>
                <w:b w:val="0"/>
              </w:rPr>
              <w:t>LOCKED</w:t>
            </w:r>
          </w:p>
        </w:tc>
      </w:tr>
      <w:tr>
        <w:tc>
          <w:tcPr>
            <w:tcW w:type="dxa" w:w="1400"/>
          </w:tcPr>
          <w:p>
            <w:r/>
            <w:r>
              <w:rPr>
                <w:b w:val="0"/>
              </w:rPr>
              <w:t>AO-10</w:t>
            </w:r>
          </w:p>
        </w:tc>
        <w:tc>
          <w:tcPr>
            <w:tcW w:type="dxa" w:w="5800"/>
          </w:tcPr>
          <w:p>
            <w:r/>
            <w:r>
              <w:rPr>
                <w:b w:val="0"/>
              </w:rPr>
              <w:t>Whenever Adjusted PFI Composite applies, output must disclose scored-dimension count, Standard PFI weight coverage, missing dimensions, and original weights exactly as required by Section 61.</w:t>
            </w:r>
          </w:p>
        </w:tc>
        <w:tc>
          <w:tcPr>
            <w:tcW w:type="dxa" w:w="1800"/>
          </w:tcPr>
          <w:p>
            <w:r/>
            <w:r>
              <w:rPr>
                <w:b w:val="0"/>
              </w:rPr>
              <w:t>LOCKED</w:t>
            </w:r>
          </w:p>
        </w:tc>
      </w:tr>
      <w:tr>
        <w:tc>
          <w:tcPr>
            <w:tcW w:type="dxa" w:w="1400"/>
          </w:tcPr>
          <w:p>
            <w:r/>
            <w:r>
              <w:rPr>
                <w:b w:val="0"/>
              </w:rPr>
              <w:t>AO-11</w:t>
            </w:r>
          </w:p>
        </w:tc>
        <w:tc>
          <w:tcPr>
            <w:tcW w:type="dxa" w:w="5800"/>
          </w:tcPr>
          <w:p>
            <w:r/>
            <w:r>
              <w:rPr>
                <w:b w:val="0"/>
              </w:rPr>
              <w:t>The legacy Diagnostic Engagement / contact bridge survives only as an optional, permissioned Job 6 transition integrated with Gate 2E-3D; standard results cannot be gated or degraded by contact or consent choices.</w:t>
            </w:r>
          </w:p>
        </w:tc>
        <w:tc>
          <w:tcPr>
            <w:tcW w:type="dxa" w:w="1800"/>
          </w:tcPr>
          <w:p>
            <w:r/>
            <w:r>
              <w:rPr>
                <w:b w:val="0"/>
              </w:rPr>
              <w:t>LOCKED</w:t>
            </w:r>
          </w:p>
        </w:tc>
      </w:tr>
      <w:tr>
        <w:tc>
          <w:tcPr>
            <w:tcW w:type="dxa" w:w="1400"/>
          </w:tcPr>
          <w:p>
            <w:r/>
            <w:r>
              <w:rPr>
                <w:b w:val="0"/>
              </w:rPr>
              <w:t>AO-12</w:t>
            </w:r>
          </w:p>
        </w:tc>
        <w:tc>
          <w:tcPr>
            <w:tcW w:type="dxa" w:w="5800"/>
          </w:tcPr>
          <w:p>
            <w:r/>
            <w:r>
              <w:rPr>
                <w:b w:val="0"/>
              </w:rPr>
              <w:t>Gate 3C closes with execution-discipline carryovers: rewrite any surviving rationale voice to remove causal/prescriptive/urgency language; never convert SRI/Visibility flag count into severity; keep path metadata post-completion and Job-5 scoped.</w:t>
            </w:r>
          </w:p>
        </w:tc>
        <w:tc>
          <w:tcPr>
            <w:tcW w:type="dxa" w:w="1800"/>
          </w:tcPr>
          <w:p>
            <w:r/>
            <w:r>
              <w:rPr>
                <w:b w:val="0"/>
              </w:rPr>
              <w:t>LOCKED / CARRYOVER</w:t>
            </w:r>
          </w:p>
        </w:tc>
      </w:tr>
      <w:tr>
        <w:tc>
          <w:tcPr>
            <w:tcW w:type="dxa" w:w="1400"/>
          </w:tcPr>
          <w:p>
            <w:r/>
            <w:r>
              <w:t>AO-25</w:t>
            </w:r>
          </w:p>
        </w:tc>
        <w:tc>
          <w:tcPr>
            <w:tcW w:type="dxa" w:w="5800"/>
          </w:tcPr>
          <w:p>
            <w:r/>
            <w:r>
              <w:t>Gate 3E-1 locks the evidence hierarchy, claim-strength ladder, six-layer voice matrix, Pattern's initial drafting consequence, and language-boundary tests governing all respondent-facing output content.</w:t>
            </w:r>
          </w:p>
        </w:tc>
        <w:tc>
          <w:tcPr>
            <w:tcW w:type="dxa" w:w="1800"/>
          </w:tcPr>
          <w:p>
            <w:r/>
            <w:r>
              <w:t>LOCKED</w:t>
            </w:r>
          </w:p>
        </w:tc>
      </w:tr>
      <w:tr>
        <w:tc>
          <w:tcPr>
            <w:tcW w:type="dxa" w:w="1400"/>
          </w:tcPr>
          <w:p>
            <w:r/>
            <w:r>
              <w:t>AO-26</w:t>
            </w:r>
          </w:p>
        </w:tc>
        <w:tc>
          <w:tcPr>
            <w:tcW w:type="dxa" w:w="5800"/>
          </w:tcPr>
          <w:p>
            <w:r/>
            <w:r>
              <w:t>Result has three Section 61 states (Standard, Adjusted, Insufficient Basis); count-failure and weight-failure are reason variants within Insufficient Basis, not separate states, evaluated count-first then weight. Result and Profile are parallel consumers of the same per-dimension evidence-sufficiency data, not sequentially dependent.</w:t>
            </w:r>
          </w:p>
        </w:tc>
        <w:tc>
          <w:tcPr>
            <w:tcW w:type="dxa" w:w="1800"/>
          </w:tcPr>
          <w:p>
            <w:r/>
            <w:r>
              <w:t>LOCKED</w:t>
            </w:r>
          </w:p>
        </w:tc>
      </w:tr>
      <w:tr>
        <w:tc>
          <w:tcPr>
            <w:tcW w:type="dxa" w:w="1400"/>
          </w:tcPr>
          <w:p>
            <w:r/>
            <w:r>
              <w:t>AO-27</w:t>
            </w:r>
          </w:p>
        </w:tc>
        <w:tc>
          <w:tcPr>
            <w:tcW w:type="dxa" w:w="5800"/>
          </w:tcPr>
          <w:p>
            <w:r>
              <w:t>Profile uses three per-dimension states only: Formal Strength (Dimension Score &gt;=80, equivalent to raw applicable-question average &gt;=4.0, AND no qualifying 0/1 signal), Standard scored dimension (all other cases), and Insufficient Basis. All seven Dimension Scores display unconditionally regardless of state.</w:t>
            </w:r>
          </w:p>
        </w:tc>
        <w:tc>
          <w:tcPr>
            <w:tcW w:type="dxa" w:w="1800"/>
          </w:tcPr>
          <w:p>
            <w:r/>
            <w:r>
              <w:t>LOCKED</w:t>
            </w:r>
          </w:p>
        </w:tc>
      </w:tr>
      <w:tr>
        <w:tc>
          <w:tcPr>
            <w:tcW w:type="dxa" w:w="1400"/>
          </w:tcPr>
          <w:p>
            <w:r/>
            <w:r>
              <w:t>AO-28</w:t>
            </w:r>
          </w:p>
        </w:tc>
        <w:tc>
          <w:tcPr>
            <w:tcW w:type="dxa" w:w="5800"/>
          </w:tcPr>
          <w:p>
            <w:r/>
            <w:r>
              <w:t>Every SRI or Universal Low-Score Visibility signal remains individually visible with no severity, ranking, or count. Locator/progressive-disclosure presence is density-responsive, not universally required whenever populated.</w:t>
            </w:r>
          </w:p>
        </w:tc>
        <w:tc>
          <w:tcPr>
            <w:tcW w:type="dxa" w:w="1800"/>
          </w:tcPr>
          <w:p>
            <w:r/>
            <w:r>
              <w:t>LOCKED</w:t>
            </w:r>
          </w:p>
        </w:tc>
      </w:tr>
      <w:tr>
        <w:tc>
          <w:tcPr>
            <w:tcW w:type="dxa" w:w="1400"/>
          </w:tcPr>
          <w:p>
            <w:r/>
            <w:r>
              <w:t>AO-29</w:t>
            </w:r>
          </w:p>
        </w:tc>
        <w:tc>
          <w:tcPr>
            <w:tcW w:type="dxa" w:w="5800"/>
          </w:tcPr>
          <w:p>
            <w:r/>
            <w:r>
              <w:t>Signals makes established signal facts available to Pattern at native granularity (dimension, construct, category, evidence) without performing synthesis itself; Pattern alone decides whether those facts support a stated relationship.</w:t>
            </w:r>
          </w:p>
        </w:tc>
        <w:tc>
          <w:tcPr>
            <w:tcW w:type="dxa" w:w="1800"/>
          </w:tcPr>
          <w:p>
            <w:r/>
            <w:r>
              <w:t>LOCKED</w:t>
            </w:r>
          </w:p>
        </w:tc>
      </w:tr>
      <w:tr>
        <w:tc>
          <w:tcPr>
            <w:tcW w:type="dxa" w:w="1400"/>
          </w:tcPr>
          <w:p>
            <w:r/>
            <w:r>
              <w:t>AO-30</w:t>
            </w:r>
          </w:p>
        </w:tc>
        <w:tc>
          <w:tcPr>
            <w:tcW w:type="dxa" w:w="5800"/>
          </w:tcPr>
          <w:p>
            <w:r/>
            <w:r>
              <w:t>Examination Agenda uses two entry types (question-level, dimension-level) built on the locked three-job structure. Dimension-level 'why' may cite breadth of evidence across multiple anchors but may not synthesize a common cause or organizational explanation from their co-occurrence.</w:t>
            </w:r>
          </w:p>
        </w:tc>
        <w:tc>
          <w:tcPr>
            <w:tcW w:type="dxa" w:w="1800"/>
          </w:tcPr>
          <w:p>
            <w:r/>
            <w:r>
              <w:t>LOCKED</w:t>
            </w:r>
          </w:p>
        </w:tc>
      </w:tr>
      <w:tr>
        <w:tc>
          <w:tcPr>
            <w:tcW w:type="dxa" w:w="1400"/>
          </w:tcPr>
          <w:p>
            <w:r/>
            <w:r>
              <w:t>AO-31</w:t>
            </w:r>
          </w:p>
        </w:tc>
        <w:tc>
          <w:tcPr>
            <w:tcW w:type="dxa" w:w="5800"/>
          </w:tcPr>
          <w:p>
            <w:r/>
            <w:r>
              <w:t>Intentional-Choice interpretation within a qualifying Examination Agenda entry states that the response reflects a deliberate choice, sourced from the selected anchor, and directs examination toward whether supporting assumptions continue to hold; it does not characterize the decision's quality or correctness.</w:t>
            </w:r>
          </w:p>
        </w:tc>
        <w:tc>
          <w:tcPr>
            <w:tcW w:type="dxa" w:w="1800"/>
          </w:tcPr>
          <w:p>
            <w:r/>
            <w:r>
              <w:t>LOCKED</w:t>
            </w:r>
          </w:p>
        </w:tc>
      </w:tr>
      <w:tr>
        <w:tc>
          <w:tcPr>
            <w:tcW w:type="dxa" w:w="1400"/>
          </w:tcPr>
          <w:p>
            <w:r/>
            <w:r>
              <w:t>AO-32</w:t>
            </w:r>
          </w:p>
        </w:tc>
        <w:tc>
          <w:tcPr>
            <w:tcW w:type="dxa" w:w="5800"/>
          </w:tcPr>
          <w:p>
            <w:r/>
            <w:r>
              <w:t>A shared dimension container organizing multiple question-level Examination Agenda entries is presentation/navigation architecture only, carrying no aggregate qualification, count, rationale, or severity, and does not alter qualification logic.</w:t>
            </w:r>
          </w:p>
        </w:tc>
        <w:tc>
          <w:tcPr>
            <w:tcW w:type="dxa" w:w="1800"/>
          </w:tcPr>
          <w:p>
            <w:r/>
            <w:r>
              <w:t>LOCKED</w:t>
            </w:r>
          </w:p>
        </w:tc>
      </w:tr>
      <w:tr>
        <w:tc>
          <w:tcPr>
            <w:tcW w:type="dxa" w:w="1400"/>
          </w:tcPr>
          <w:p>
            <w:r/>
            <w:r>
              <w:t>AO-33</w:t>
            </w:r>
          </w:p>
        </w:tc>
        <w:tc>
          <w:tcPr>
            <w:tcW w:type="dxa" w:w="5800"/>
          </w:tcPr>
          <w:p>
            <w:r/>
            <w:r>
              <w:t>Pattern selection is constrained drafting judgment governed by a three-part eligibility test (supportable; adds information beyond a single Profile row; not redundant with a broader statement already selected). Redundancy is suppressed by logical containment, not topical or dimensional overlap. Multiple independent eligible statements may appear additively with no ranking.</w:t>
            </w:r>
          </w:p>
        </w:tc>
        <w:tc>
          <w:tcPr>
            <w:tcW w:type="dxa" w:w="1800"/>
          </w:tcPr>
          <w:p>
            <w:r/>
            <w:r>
              <w:t>LOCKED</w:t>
            </w:r>
          </w:p>
        </w:tc>
      </w:tr>
      <w:tr>
        <w:tc>
          <w:tcPr>
            <w:tcW w:type="dxa" w:w="1400"/>
          </w:tcPr>
          <w:p>
            <w:r/>
            <w:r>
              <w:t>AO-34</w:t>
            </w:r>
          </w:p>
        </w:tc>
        <w:tc>
          <w:tcPr>
            <w:tcW w:type="dxa" w:w="5800"/>
          </w:tcPr>
          <w:p>
            <w:r/>
            <w:r>
              <w:t>Pattern's null statement ('no pronounced cross-dimension pattern is evident from the assessment') is required whenever neither categorical facts nor plainly observable relative structure support a statement; it asserts nothing about institutional balance, satisfaction, or the absence of further examination need.</w:t>
            </w:r>
          </w:p>
        </w:tc>
        <w:tc>
          <w:tcPr>
            <w:tcW w:type="dxa" w:w="1800"/>
          </w:tcPr>
          <w:p>
            <w:r/>
            <w:r>
              <w:t>LOCKED</w:t>
            </w:r>
          </w:p>
        </w:tc>
      </w:tr>
      <w:tr>
        <w:tc>
          <w:tcPr>
            <w:tcW w:type="dxa" w:w="1400"/>
          </w:tcPr>
          <w:p>
            <w:r/>
            <w:r>
              <w:t>AO-35</w:t>
            </w:r>
          </w:p>
        </w:tc>
        <w:tc>
          <w:tcPr>
            <w:tcW w:type="dxa" w:w="5800"/>
          </w:tcPr>
          <w:p>
            <w:r/>
            <w:r>
              <w:t>Next Step renders from two independent variables (identity known/unknown; contact-level commercial consent granted/not-yet-granted), producing three initial states, plus one independent overlay for Assessment Discussion Request status specific to the instance being viewed. Reminder permission and Examination Agenda population have no role in Next Step content.</w:t>
            </w:r>
          </w:p>
        </w:tc>
        <w:tc>
          <w:tcPr>
            <w:tcW w:type="dxa" w:w="1800"/>
          </w:tcPr>
          <w:p>
            <w:r/>
            <w:r>
              <w:t>LOCKED</w:t>
            </w:r>
          </w:p>
        </w:tc>
      </w:tr>
      <w:tr>
        <w:tc>
          <w:tcPr>
            <w:tcW w:type="dxa" w:w="1400"/>
          </w:tcPr>
          <w:p>
            <w:r/>
            <w:r>
              <w:t>AO-36</w:t>
            </w:r>
          </w:p>
        </w:tc>
        <w:tc>
          <w:tcPr>
            <w:tcW w:type="dxa" w:w="5800"/>
          </w:tcPr>
          <w:p>
            <w:r/>
            <w:r>
              <w:t>Assessment Discussion Request is added to the 2E-3D contact/continuity architecture as a respondent-initiated, assessment-instance-scoped action request, not a fourth standing consent category. It is independent of recovery, reminders, and commercial consent in both directions and does not carry across assessment instances.</w:t>
            </w:r>
          </w:p>
        </w:tc>
        <w:tc>
          <w:tcPr>
            <w:tcW w:type="dxa" w:w="1800"/>
          </w:tcPr>
          <w:p>
            <w:r/>
            <w:r>
              <w:t>LOCKED</w:t>
            </w:r>
          </w:p>
        </w:tc>
      </w:tr>
      <w:tr>
        <w:tc>
          <w:tcPr>
            <w:tcW w:type="dxa" w:w="1400"/>
          </w:tcPr>
          <w:p>
            <w:r/>
            <w:r>
              <w:t>AO-37</w:t>
            </w:r>
          </w:p>
        </w:tc>
        <w:tc>
          <w:tcPr>
            <w:tcW w:type="dxa" w:w="5800"/>
          </w:tcPr>
          <w:p>
            <w:r/>
            <w:r>
              <w:t>Commercial consent and the Assessment Discussion Request render as parallel, independently actionable choices; neither may be presented as a prerequisite, consequence, continuation step, or required companion of the other. This governs decision relationship, not eventual visual placement, which remains for the visual-design gate.</w:t>
            </w:r>
          </w:p>
        </w:tc>
        <w:tc>
          <w:tcPr>
            <w:tcW w:type="dxa" w:w="1800"/>
          </w:tcPr>
          <w:p>
            <w:r/>
            <w:r>
              <w:t>LOCKED</w:t>
            </w:r>
          </w:p>
        </w:tc>
      </w:tr>
      <w:tr>
        <w:tc>
          <w:tcPr>
            <w:tcW w:type="dxa" w:w="1400"/>
          </w:tcPr>
          <w:p>
            <w:r/>
            <w:r>
              <w:t>AO-38</w:t>
            </w:r>
          </w:p>
        </w:tc>
        <w:tc>
          <w:tcPr>
            <w:tcW w:type="dxa" w:w="5800"/>
          </w:tcPr>
          <w:p>
            <w:r/>
            <w:r>
              <w:t>The Gate 3E-2 closure audit found all six output layers state-complete, branch-exclusive, and consistent with the Gate 3E-1 voice rules, with no unresolved issue. Gate 3E-1 and Gate 3E-2 are CLOSED; Gate 3E-3 (output drafting and prototype validation) is authorized next.</w:t>
            </w:r>
          </w:p>
        </w:tc>
        <w:tc>
          <w:tcPr>
            <w:tcW w:type="dxa" w:w="1800"/>
          </w:tcPr>
          <w:p>
            <w:r/>
            <w:r>
              <w:t>GATE CLOSED</w:t>
            </w:r>
          </w:p>
        </w:tc>
      </w:tr>
      <w:tr>
        <w:tc>
          <w:tcPr>
            <w:tcW w:type="dxa" w:w="1400"/>
          </w:tcPr>
          <w:p>
            <w:r>
              <w:t>AO-39</w:t>
            </w:r>
          </w:p>
        </w:tc>
        <w:tc>
          <w:tcPr>
            <w:tcW w:type="dxa" w:w="5800"/>
          </w:tcPr>
          <w:p>
            <w:r>
              <w:t>Corrective unit/terminology reconciliation: 'Dimension Score' refers exclusively to the formal 0-100 Section 60 quantity. Gate 3's raw applicable-question-average cut-points of 4.0 (Strength) and 2.0 (dimension-level Examination Agenda) are exactly Dimension Score 80 and 40 respectively. No methodology or qualification threshold changes.</w:t>
            </w:r>
          </w:p>
        </w:tc>
        <w:tc>
          <w:tcPr>
            <w:tcW w:type="dxa" w:w="1800"/>
          </w:tcPr>
          <w:p>
            <w:r>
              <w:t>LOCKED</w:t>
            </w:r>
          </w:p>
        </w:tc>
      </w:tr>
      <w:tr>
        <w:tc>
          <w:tcPr>
            <w:tcW w:type="dxa" w:w="1400"/>
          </w:tcPr>
          <w:p>
            <w:r>
              <w:t>AO-40</w:t>
            </w:r>
          </w:p>
        </w:tc>
        <w:tc>
          <w:tcPr>
            <w:tcW w:type="dxa" w:w="5800"/>
          </w:tcPr>
          <w:p>
            <w:r>
              <w:t>Gate 3E-3 independent review corrected the Composite-to-output bridge to three state-specific constructions: Standard retains the seven-dimension wording; Adjusted refers only to dimensions for which sufficient evidence was available and to available dimension evidence; Insufficient Basis states that a composite could not be calculated and refers only to available dimension evidence. This is a presentation-precision correction only and does not alter Section 60/61 methodology, qualification logic, or layer responsibilities.</w:t>
            </w:r>
          </w:p>
        </w:tc>
        <w:tc>
          <w:tcPr>
            <w:tcW w:type="dxa" w:w="1800"/>
          </w:tcPr>
          <w:p>
            <w:r>
              <w:t>LOCKED</w:t>
            </w:r>
          </w:p>
        </w:tc>
      </w:tr>
      <w:tr>
        <w:tc>
          <w:tcPr>
            <w:tcW w:type="dxa" w:w="1400"/>
          </w:tcPr>
          <w:p>
            <w:r>
              <w:t>AO-41</w:t>
            </w:r>
          </w:p>
        </w:tc>
        <w:tc>
          <w:tcPr>
            <w:tcW w:type="dxa" w:w="5800"/>
          </w:tcPr>
          <w:p>
            <w:r>
              <w:t>Gate 3E-3 output drafting and prototype validation is CLOSED after achievable-fixture validation, end-to-end MP-01 assembly, independent review, Executive Review, refinement, and final regression verification. No Section 60/61 methodology, weighting, qualification threshold, signal rule, or Gate 3E-2 layer architecture changed.</w:t>
            </w:r>
          </w:p>
        </w:tc>
        <w:tc>
          <w:tcPr>
            <w:tcW w:type="dxa" w:w="1800"/>
          </w:tcPr>
          <w:p>
            <w:r>
              <w:t>GATE CLOSED</w:t>
            </w:r>
          </w:p>
        </w:tc>
      </w:tr>
      <w:tr>
        <w:tc>
          <w:tcPr>
            <w:tcW w:type="dxa" w:w="1400"/>
          </w:tcPr>
          <w:p>
            <w:r>
              <w:t>AO-42</w:t>
            </w:r>
          </w:p>
        </w:tc>
        <w:tc>
          <w:tcPr>
            <w:tcW w:type="dxa" w:w="5800"/>
          </w:tcPr>
          <w:p>
            <w:r>
              <w:t>Gate 3E-3 drafting refinement suppresses redundant Profile-visible geometry in Pattern when it adds no information and foregrounds additive synthesis, including signal/score convergence when directly supported; Signals remains exhaustive and non-interpretive, while Examination Agenda carries construct-level significance and next-evidence questions without diagnosis or prescription.</w:t>
            </w:r>
          </w:p>
        </w:tc>
        <w:tc>
          <w:tcPr>
            <w:tcW w:type="dxa" w:w="1800"/>
          </w:tcPr>
          <w:p>
            <w:r>
              <w:t>LOCKED</w:t>
            </w:r>
          </w:p>
        </w:tc>
      </w:tr>
      <w:tr>
        <w:tc>
          <w:tcPr>
            <w:tcW w:type="dxa" w:w="1400"/>
          </w:tcPr>
          <w:p>
            <w:r>
              <w:t>AO-43</w:t>
            </w:r>
          </w:p>
        </w:tc>
        <w:tc>
          <w:tcPr>
            <w:tcW w:type="dxa" w:w="5800"/>
          </w:tcPr>
          <w:p>
            <w:r>
              <w:t>Profile asymmetry does not reopen the locked three-state Profile content architecture. Standard scored dimensions receive no new score-band interpretation; Strength echoes remain evidence-grounded and concise. Balance/pacing is a downstream visual-design matter, and any factual wayfinding pointer must remain non-evaluative.</w:t>
            </w:r>
          </w:p>
        </w:tc>
        <w:tc>
          <w:tcPr>
            <w:tcW w:type="dxa" w:w="1800"/>
          </w:tcPr>
          <w:p>
            <w:r>
              <w:t>LOCKED</w:t>
            </w:r>
          </w:p>
        </w:tc>
      </w:tr>
      <w:tr>
        <w:tc>
          <w:tcPr>
            <w:tcW w:type="dxa" w:w="1400"/>
          </w:tcPr>
          <w:p>
            <w:r>
              <w:t>AO-44</w:t>
            </w:r>
          </w:p>
        </w:tc>
        <w:tc>
          <w:tcPr>
            <w:tcW w:type="dxa" w:w="5800"/>
          </w:tcPr>
          <w:p>
            <w:r>
              <w:t>Final Gate 3E-3 validation evidence is Prototype v0.3.2 plus MP-01 v0.3.3; Executive Review v0.3 is CLOSED/PASS. Gate 3F is authorized next for commercial-bridge integration under the already-locked independence, no-gating, and output-completeness boundaries.</w:t>
            </w:r>
          </w:p>
        </w:tc>
        <w:tc>
          <w:tcPr>
            <w:tcW w:type="dxa" w:w="1800"/>
          </w:tcPr>
          <w:p>
            <w:r>
              <w:t>LOCKED</w:t>
            </w:r>
          </w:p>
        </w:tc>
      </w:tr>
      <w:tr>
        <w:tc>
          <w:tcPr>
            <w:tcW w:type="dxa" w:w="1400"/>
          </w:tcPr>
          <w:p>
            <w:r>
              <w:t>AO-45</w:t>
            </w:r>
          </w:p>
        </w:tc>
        <w:tc>
          <w:tcPr>
            <w:tcW w:type="dxa" w:w="5800"/>
          </w:tcPr>
          <w:p>
            <w:r>
              <w:t>Gate 3F-A locks the commercial-bridge integration state model: three base states plus one independent Assessment Discussion Request overlay. Identity capture is action-triggered when unknown; known identity is reused without permission inference. Commercial consent is contact-scoped; Discussion Request is assessment-instance-scoped; multi-instance behavior preserves that separation.</w:t>
            </w:r>
          </w:p>
        </w:tc>
        <w:tc>
          <w:tcPr>
            <w:tcW w:type="dxa" w:w="1800"/>
          </w:tcPr>
          <w:p>
            <w:r>
              <w:t>LOCKED</w:t>
            </w:r>
          </w:p>
        </w:tc>
      </w:tr>
      <w:tr>
        <w:tc>
          <w:tcPr>
            <w:tcW w:type="dxa" w:w="1400"/>
          </w:tcPr>
          <w:p>
            <w:r>
              <w:t>AO-46</w:t>
            </w:r>
          </w:p>
        </w:tc>
        <w:tc>
          <w:tcPr>
            <w:tcW w:type="dxa" w:w="5800"/>
          </w:tcPr>
          <w:p>
            <w:r>
              <w:t>Gate 3F-B locks the respondent-facing commercial boundary: the completed PFI result precedes optional engagement; Discussion Request and commercial consent remain separately labeled and affirmatively actionable; shared identity entry may support both selected actions without collapsing them; completed actions render acknowledgments; and bridge copy/hierarchy may not vary with assessment severity or content.</w:t>
            </w:r>
          </w:p>
        </w:tc>
        <w:tc>
          <w:tcPr>
            <w:tcW w:type="dxa" w:w="1800"/>
          </w:tcPr>
          <w:p>
            <w:r>
              <w:t>LOCKED</w:t>
            </w:r>
          </w:p>
        </w:tc>
      </w:tr>
      <w:tr>
        <w:tc>
          <w:tcPr>
            <w:tcW w:type="dxa" w:w="1400"/>
          </w:tcPr>
          <w:p>
            <w:r>
              <w:t>AO-47</w:t>
            </w:r>
          </w:p>
        </w:tc>
        <w:tc>
          <w:tcPr>
            <w:tcW w:type="dxa" w:w="5800"/>
          </w:tcPr>
          <w:p>
            <w:r>
              <w:t>Gate 3F-C/D validates end-to-end bridge behavior including neither/one/both actions, known and unknown identity, prior consent, prior Discussion Request, partial failure/retry, multi-instance behavior, severity/content invariance, and commercial-consent withdrawal followed by revisit. Current contact-level consent governs subsequent renders; withdrawal has no retroactive effect on historical instance-scoped Discussion Requests or assessment content/access.</w:t>
            </w:r>
          </w:p>
        </w:tc>
        <w:tc>
          <w:tcPr>
            <w:tcW w:type="dxa" w:w="1800"/>
          </w:tcPr>
          <w:p>
            <w:r>
              <w:t>LOCKED / VALIDATED</w:t>
            </w:r>
          </w:p>
        </w:tc>
      </w:tr>
      <w:tr>
        <w:tc>
          <w:tcPr>
            <w:tcW w:type="dxa" w:w="1400"/>
          </w:tcPr>
          <w:p>
            <w:r>
              <w:t>AO-48</w:t>
            </w:r>
          </w:p>
        </w:tc>
        <w:tc>
          <w:tcPr>
            <w:tcW w:type="dxa" w:w="5800"/>
          </w:tcPr>
          <w:p>
            <w:r>
              <w:t>Gate 3F and Gate 3 are CLOSED after independent review of Gate 3F-C/D v0.1.1 returned PASS. Gate 3 closure establishes specification/prototype-level validity only; empirical respondent comprehension, final visual design, privacy/consent-management implementation, accessibility, analytics, production integration, and tracked production defects remain downstream work and do not reopen Gate 3 absent a demonstrated governing conflict.</w:t>
            </w:r>
          </w:p>
        </w:tc>
        <w:tc>
          <w:tcPr>
            <w:tcW w:type="dxa" w:w="1800"/>
          </w:tcPr>
          <w:p>
            <w:r>
              <w:t>GATE CLOSED</w:t>
            </w:r>
          </w:p>
        </w:tc>
      </w:tr>
    </w:tbl>
    <w:p>
      <w:pPr>
        <w:pStyle w:val="Heading1"/>
        <w:spacing w:after="160" w:before="320"/>
      </w:pPr>
      <w:r>
        <w:t>15. Open Items / Dependencies</w:t>
      </w:r>
    </w:p>
    <w:p>
      <w:pPr>
        <w:pStyle w:val="ListParagraph"/>
      </w:pPr>
      <w:r>
        <w:t>Gate 2E-3D: CLOSED, extended with the Assessment Discussion Request (respondent-initiated, assessment-instance-scoped action request, distinct from standing commercial consent). Contact capture, consent, permissioned lead-generation, assessment/contact identity separation, and deletion scope are architecturally resolved.</w:t>
      </w:r>
    </w:p>
    <w:p>
      <w:pPr>
        <w:pStyle w:val="ListParagraph"/>
      </w:pPr>
      <w:r>
        <w:t>Retention/expiry dependency: define separate retention and expiry policies for Assessment Instance data versus Contact identity / contact-level professional-commercial consent.</w:t>
      </w:r>
    </w:p>
    <w:p>
      <w:pPr>
        <w:pStyle w:val="ListParagraph"/>
      </w:pPr>
      <w:r>
        <w:t>Contact/recovery implementation dependency: select durable storage location, recovery channel/authentication, communications service, and operational handling for consent changes and deletion requests.</w:t>
      </w:r>
    </w:p>
    <w:p>
      <w:pPr>
        <w:pStyle w:val="ListParagraph"/>
      </w:pPr>
      <w:r>
        <w:t>Presentation-integrity carryover: contact-capture UX must keep recovery value and professional/commercial consent visibly distinct even if offered in the same interaction.</w:t>
      </w:r>
    </w:p>
    <w:p>
      <w:pPr>
        <w:pStyle w:val="ListParagraph"/>
      </w:pPr>
      <w:r>
        <w:t>Gate 2: CLOSED. All 2A-2E interaction-architecture work is complete; remaining items below are downstream implementation/design dependencies.</w:t>
      </w:r>
    </w:p>
    <w:p>
      <w:pPr>
        <w:pStyle w:val="ListParagraph"/>
      </w:pPr>
      <w:r>
        <w:t>Gate 1 privacy-copy dependency: revise the prior browser-session-only privacy statement after the persistence/recovery implementation is selected.</w:t>
      </w:r>
    </w:p>
    <w:p>
      <w:pPr>
        <w:pStyle w:val="ListParagraph"/>
      </w:pPr>
      <w:r>
        <w:t>Persistence implementation dependency: decide whether anonymous durable state remains on-device or uses server-side storage. Abandoned-assessment retention is part of the separate Assessment Instance lifecycle decision.</w:t>
      </w:r>
    </w:p>
    <w:p>
      <w:pPr>
        <w:pStyle w:val="ListParagraph"/>
      </w:pPr>
      <w:r>
        <w:t>Recovery/reminder operating dependency: choose recovery/authentication mechanism and reminder cadence within the locked consent architecture; reminder delivery must check current completion state at send time.</w:t>
      </w:r>
    </w:p>
    <w:p>
      <w:pPr>
        <w:pStyle w:val="ListParagraph"/>
      </w:pPr>
      <w:r>
        <w:t>Response-language carryover: replace bare internal question-ID references in B1 Level 3, GE1 Level 3, and MC5 Level 3 with respondent-legible scope language without changing construct boundaries.</w:t>
      </w:r>
    </w:p>
    <w:p>
      <w:pPr>
        <w:pStyle w:val="ListParagraph"/>
      </w:pPr>
      <w:r>
        <w:t>Visual-design carryover: after broader architecture closes, develop a more alive assessment presentation aligned with CarlosUrena.com; improve hierarchy, rhythm, progression, and interaction feedback without weakening cognitive rigor.</w:t>
      </w:r>
    </w:p>
    <w:p>
      <w:pPr>
        <w:pStyle w:val="ListParagraph"/>
        <w:numPr>
          <w:ilvl w:val="0"/>
          <w:numId w:val="1"/>
        </w:numPr>
        <w:spacing w:after="100"/>
      </w:pPr>
      <w:r>
        <w:t xml:space="preserve">Production defect (non-methodology, tracked separately): live MR4 N/A selection corrupts its pillar average and the full displayed composite to NaN via null-to-Number coercion. Requires an out-of-band production fix independent of the v28 rebuild.</w:t>
      </w:r>
    </w:p>
    <w:p>
      <w:pPr>
        <w:pStyle w:val="ListParagraph"/>
      </w:pPr>
      <w:r>
        <w:t>Production defect (non-methodology, tracked separately): the live primary navigation uses `.site-nav`, but no `.site-nav` styling rule exists in the inspected repository while the intended sticky/navigation styling remains orphaned under `.topbar`. Requires an out-of-band production fix independent of the v28 rebuild.</w:t>
      </w:r>
    </w:p>
    <w:p>
      <w:pPr>
        <w:pStyle w:val="ListParagraph"/>
        <w:numPr>
          <w:ilvl w:val="0"/>
          <w:numId w:val="1"/>
        </w:numPr>
        <w:spacing w:after="100"/>
      </w:pPr>
      <w:r>
        <w:t>Gate 2D: CLOSED. Visual implementation details for expansion affordance and any sticky treatment remain downstream design/production-validation work.</w:t>
      </w:r>
    </w:p>
    <w:p>
      <w:pPr>
        <w:pStyle w:val="ListParagraph"/>
      </w:pPr>
      <w:r>
        <w:t>Gate 3D: CLOSED. Six-layer output information architecture, Strength/Examination qualification logic, Signals preservation/consolidation rules, and Result composite-state presentation are locked.</w:t>
      </w:r>
    </w:p>
    <w:p>
      <w:pPr>
        <w:pStyle w:val="ListParagraph"/>
      </w:pPr>
      <w:r>
        <w:t>Gate 3D neutral-treatment dependency: RESOLVED. Standard Composite uses score-invariant, verdict-free explanatory language with explicit self-report/non-verification disclosure.</w:t>
      </w:r>
    </w:p>
    <w:p>
      <w:pPr>
        <w:pStyle w:val="ListParagraph"/>
      </w:pPr>
      <w:r>
        <w:t>Gate 3E signal-execution carryover: RESOLVED. Gate 3E-2 locked density-responsive locator, dimension grouping, and complete reachability; Gate 3E-3 drafted and prototype-validated the actual Signals copy and confirmed exhaustive visibility in assembled output.</w:t>
      </w:r>
    </w:p>
    <w:p>
      <w:pPr>
        <w:pStyle w:val="ListParagraph"/>
      </w:pPr>
      <w:r>
        <w:t>Gate 3D composite-state dependency: RESOLVED. Standard / Adjusted / Insufficient Basis Result architecture is locked, including complete four-part Section 61 Adjusted disclosure and no-score Insufficient Basis handling.</w:t>
      </w:r>
    </w:p>
    <w:p>
      <w:r>
        <w:t>Gate 3E Pattern-selection dependency: RESOLVED by Gate 3E-2's qualitative selection principle (three-part eligibility test plus containment-based redundancy suppression). No numeric threshold, ranking, or severity formula was introduced.</w:t>
      </w:r>
    </w:p>
    <w:p>
      <w:pPr>
        <w:pStyle w:val="ListParagraph"/>
      </w:pPr>
      <w:r>
        <w:t>Gate 3E-3 drafting dependency: RESOLVED. Respondent-facing copy for all six layers was drafted, prototype-validated, independently reviewed, Executive-Reviewed, and regression-checked to closure; specific citation, positive-exception handling, mixed flagged/Intentional-Choice registers, Pattern selection, Signals completeness, and Next Step independence were validated in assembled output.</w:t>
      </w:r>
    </w:p>
    <w:p>
      <w:pPr>
        <w:pStyle w:val="ListParagraph"/>
      </w:pPr>
      <w:r>
        <w:t>Gate 3 commercial-bridge dependency: RESOLVED. Gate 3F-A locked state/transition behavior, Gate 3F-B locked presentation/copy boundaries, and Gate 3F-C/D v0.1.1 validated the integrated bridge and closure audit, including consent withdrawal/revisit. Gate 3F and Gate 3 are CLOSED.</w:t>
      </w:r>
    </w:p>
    <w:p>
      <w:r>
        <w:t>Gate 3: CLOSED. Gates 3A-3F are complete. Result, Profile, Signals, Pattern, Examination Agenda, Next Step, and commercial-bridge integration have been specified, drafted/prototype-validated, independently reviewed, and closure-audited. Final visual design/layout and empirical usability testing remain downstream and may not reopen locked Gate 3 architecture absent a demonstrated conflict.</w:t>
      </w:r>
    </w:p>
    <w:p>
      <w:pPr>
        <w:pStyle w:val="Heading1"/>
      </w:pPr>
      <w:r>
        <w:rPr>
          <w:b w:val="0"/>
        </w:rPr>
        <w:t>13. Gate 4 — Visual / UX / Production Experience</w:t>
      </w:r>
    </w:p>
    <w:p>
      <w:r>
        <w:rPr>
          <w:b/>
        </w:rPr>
        <w:t>STATUS: CLOSED — GATES 4A–4E CLOSED</w:t>
      </w:r>
    </w:p>
    <w:p>
      <w:r>
        <w:rPr>
          <w:b w:val="0"/>
        </w:rPr>
        <w:t>Gate 4 established the visual direction, assessment experience, results experience, integrated prototype/specification validation, and production design handoff. Gate 4 did not change Sections 60–61 methodology, questionnaire/scoring logic, weighting, qualification, N/A rules, SRI/Visibility, Gate 3 output architecture, or locked commercial-permission semantics.</w:t>
      </w:r>
    </w:p>
    <w:p>
      <w:pPr>
        <w:pStyle w:val="Heading2"/>
      </w:pPr>
      <w:r>
        <w:rPr>
          <w:b w:val="0"/>
        </w:rPr>
        <w:t>13.1 Final Gate 4 artifact set</w:t>
      </w:r>
    </w:p>
    <w:p>
      <w:pPr>
        <w:pStyle w:val="ListParagraph"/>
      </w:pPr>
      <w:r>
        <w:rPr>
          <w:b w:val="0"/>
        </w:rPr>
        <w:t>Gate 4 Visual / UX / Production Experience Workplan v0.2 — final execution plan.</w:t>
      </w:r>
    </w:p>
    <w:p>
      <w:pPr>
        <w:pStyle w:val="ListParagraph"/>
      </w:pPr>
      <w:r>
        <w:rPr>
          <w:b w:val="0"/>
        </w:rPr>
        <w:t>Gate 4A Visual Baseline &amp; Experience Direction v0.2 — LOCKED.</w:t>
      </w:r>
    </w:p>
    <w:p>
      <w:pPr>
        <w:pStyle w:val="ListParagraph"/>
      </w:pPr>
      <w:r>
        <w:rPr>
          <w:b w:val="0"/>
        </w:rPr>
        <w:t>Gate 4B Assessment Experience Prototype v0.3 — LOCKED.</w:t>
      </w:r>
    </w:p>
    <w:p>
      <w:pPr>
        <w:pStyle w:val="ListParagraph"/>
      </w:pPr>
      <w:r>
        <w:rPr>
          <w:b w:val="0"/>
        </w:rPr>
        <w:t>Gate 4C Results Experience Prototype v0.2 — LOCKED.</w:t>
      </w:r>
    </w:p>
    <w:p>
      <w:pPr>
        <w:pStyle w:val="ListParagraph"/>
      </w:pPr>
      <w:r>
        <w:rPr>
          <w:b w:val="0"/>
        </w:rPr>
        <w:t>Gate 4D Integrated Accessibility &amp; Usability Validation Plan / Test Matrix v0.2 — PASSED.</w:t>
      </w:r>
    </w:p>
    <w:p>
      <w:pPr>
        <w:pStyle w:val="ListParagraph"/>
      </w:pPr>
      <w:r>
        <w:rPr>
          <w:b w:val="0"/>
        </w:rPr>
        <w:t>Gate 4D Integrated Validation Results Register v0.1 — PASSED.</w:t>
      </w:r>
    </w:p>
    <w:p>
      <w:pPr>
        <w:pStyle w:val="ListParagraph"/>
      </w:pPr>
      <w:r>
        <w:rPr>
          <w:b w:val="0"/>
        </w:rPr>
        <w:t>Gate 4D Closure Audit &amp; Dependency Disposition v0.1 — PASSED; Gate 4D CLOSED.</w:t>
      </w:r>
    </w:p>
    <w:p>
      <w:pPr>
        <w:pStyle w:val="ListParagraph"/>
      </w:pPr>
      <w:r>
        <w:rPr>
          <w:b w:val="0"/>
        </w:rPr>
        <w:t>Gate 4E Production Design Specification &amp; Handoff v0.1.1 — FINAL / PASSED.</w:t>
      </w:r>
    </w:p>
    <w:p>
      <w:pPr>
        <w:pStyle w:val="Heading2"/>
      </w:pPr>
      <w:r>
        <w:rPr>
          <w:b w:val="0"/>
        </w:rPr>
        <w:t>13.2 Evidentiary boundary and release dependencies</w:t>
      </w:r>
    </w:p>
    <w:p>
      <w:r>
        <w:rPr>
          <w:b w:val="0"/>
        </w:rPr>
        <w:t>Prototype/specification validation is complete. Empirical respondent usability testing was not performed during Gate 4, and runtime accessibility/production behavior was not verified because no production implementation yet exists. These limitations are explicit and do not invalidate Gate 4 closure.</w:t>
      </w:r>
    </w:p>
    <w:p>
      <w:r>
        <w:rPr>
          <w:b w:val="0"/>
        </w:rPr>
        <w:t>E-01 through E-10 remain mandatory PRE-PRODUCTION empirical usability dependencies. Before participant testing begins, the empirical protocol must pre-register the participant sample and relevant segments, task-success criteria, observation coding rules, and the quantitative or qualitative threshold defining systematic failure for each E-01–E-10 item. Thresholds may not be created or relaxed after results are observed. Production release is not authorized until each item has recorded evidence and disposition.</w:t>
      </w:r>
    </w:p>
    <w:p>
      <w:r>
        <w:rPr>
          <w:b w:val="0"/>
        </w:rPr>
        <w:t>Runtime accessibility and production verification remain mandatory release dependencies: keyboard/focus behavior; screen-reader semantics and status announcements; WCAG 2.2 AA contrast and Target Size (Minimum) verification; zoom/reflow; persistence/concurrency; bridge transaction integrity; privacy/consent plumbing; responsive QA; and regression testing.</w:t>
      </w:r>
    </w:p>
    <w:p>
      <w:pPr>
        <w:pStyle w:val="Heading2"/>
      </w:pPr>
      <w:r>
        <w:rPr>
          <w:b w:val="0"/>
        </w:rPr>
        <w:t>13.3 Authoritative decisions</w:t>
      </w:r>
    </w:p>
    <w:p>
      <w:pPr>
        <w:pStyle w:val="ListParagraph"/>
      </w:pPr>
      <w:r>
        <w:rPr>
          <w:b w:val="0"/>
        </w:rPr>
        <w:t>AO-49 — Gate 4A through Gate 4E are CLOSED. Gate 4 is CLOSED.</w:t>
      </w:r>
    </w:p>
    <w:p>
      <w:pPr>
        <w:pStyle w:val="ListParagraph"/>
      </w:pPr>
      <w:r>
        <w:rPr>
          <w:b w:val="0"/>
        </w:rPr>
        <w:t>AO-50 — Gate 4E Production Design Specification &amp; Handoff v0.1.1 is the authoritative production handoff for implementation.</w:t>
      </w:r>
    </w:p>
    <w:p>
      <w:pPr>
        <w:pStyle w:val="ListParagraph"/>
      </w:pPr>
      <w:r>
        <w:rPr>
          <w:b w:val="0"/>
        </w:rPr>
        <w:t>AO-51 — E-01 through E-10 are unresolved empirical questions, not defects and not PASS results; all remain release-gating pre-production validation dependencies.</w:t>
      </w:r>
    </w:p>
    <w:p>
      <w:pPr>
        <w:pStyle w:val="ListParagraph"/>
      </w:pPr>
      <w:r>
        <w:rPr>
          <w:b w:val="0"/>
        </w:rPr>
        <w:t>AO-52 — Runtime accessibility and production behavior remain release-gating verification dependencies; specification-level acceptance criteria do not constitute implementation verification.</w:t>
      </w:r>
    </w:p>
    <w:p>
      <w:pPr>
        <w:pStyle w:val="ListParagraph"/>
      </w:pPr>
      <w:r>
        <w:rPr>
          <w:b w:val="0"/>
        </w:rPr>
        <w:t>AO-53 — Implementation is AUTHORIZED. Implementation may translate the locked specification into software but may not reopen methodology, Gate 3 semantics, or locked Gate 4 experience decisions absent a demonstrated conflict under the Gate 4D narrow reopening rule.</w:t>
      </w:r>
    </w:p>
    <w:p>
      <w:pPr>
        <w:pStyle w:val="ListParagraph"/>
      </w:pPr>
      <w:r>
        <w:rPr>
          <w:b w:val="0"/>
        </w:rPr>
        <w:t>AO-54 — The next phase is implementation. A concise Implementation Workplan should sequence build increments and verification without creating a new governance layer.</w:t>
      </w:r>
    </w:p>
    <w:p>
      <w:pPr>
        <w:pStyle w:val="Heading2"/>
      </w:pPr>
      <w:r>
        <w:rPr>
          <w:b w:val="0"/>
        </w:rPr>
        <w:t>13.4 Next authorized phase</w:t>
      </w:r>
    </w:p>
    <w:p>
      <w:r>
        <w:rPr>
          <w:b/>
        </w:rPr>
        <w:t>IMPLEMENTATION — AUTHORIZED</w:t>
      </w:r>
    </w:p>
    <w:p>
      <w:r>
        <w:rPr>
          <w:b w:val="0"/>
        </w:rPr>
        <w:t>Begin with a concise Implementation Workplan that decomposes Gate 4E into build increments, automated verification, empirical pre-production testing, runtime accessibility verification, and release readiness. The Implementation Workplan is operational; it does not supersede this Working Record, PFI Strategy Review Working Record v28, or Gate 4E v0.1.1.</w:t>
      </w:r>
    </w:p>
    <w:p>
      <w:pPr>
        <w:pStyle w:val="Heading2"/>
      </w:pPr>
      <w:r>
        <w:rPr>
          <w:b w:val="0"/>
        </w:rPr>
        <w:t>13.5 Post-I4 Regression Closure and Implementation Baseline</w:t>
      </w:r>
    </w:p>
    <w:p>
      <w:r>
        <w:rPr>
          <w:b/>
        </w:rPr>
        <w:t>STATUS: CLOSED</w:t>
      </w:r>
    </w:p>
    <w:p>
      <w:r>
        <w:rPr>
          <w:b w:val="0"/>
        </w:rPr>
        <w:t>Root cause: test-side asynchronous timing assumptions after Start assessment. No production routing or persistence defect was identified.</w:t>
      </w:r>
    </w:p>
    <w:p>
      <w:r>
        <w:rPr>
          <w:b w:val="0"/>
        </w:rPr>
        <w:t>Production disposition: no production code changed. The test correction introduces a shared Start-assessment helper that explicitly waits for the /assessment route, with a five-second ceiling, before assessment controls are accessed.</w:t>
      </w:r>
    </w:p>
    <w:p>
      <w:r>
        <w:rPr>
          <w:b/>
        </w:rPr>
        <w:t>Verification:</w:t>
      </w:r>
    </w:p>
    <w:p>
      <w:pPr>
        <w:pStyle w:val="ListParagraph"/>
      </w:pPr>
      <w:r>
        <w:rPr>
          <w:b w:val="0"/>
        </w:rPr>
        <w:t>Original failing test: 5 consecutive passes.</w:t>
      </w:r>
    </w:p>
    <w:p>
      <w:pPr>
        <w:pStyle w:val="ListParagraph"/>
      </w:pPr>
      <w:r>
        <w:rPr>
          <w:b w:val="0"/>
        </w:rPr>
        <w:t>Assessment-experience test file: 13/13 passed.</w:t>
      </w:r>
    </w:p>
    <w:p>
      <w:pPr>
        <w:pStyle w:val="ListParagraph"/>
      </w:pPr>
      <w:r>
        <w:rPr>
          <w:b w:val="0"/>
        </w:rPr>
        <w:t>Full suite: 77/77 passed twice.</w:t>
      </w:r>
    </w:p>
    <w:p>
      <w:pPr>
        <w:pStyle w:val="ListParagraph"/>
      </w:pPr>
      <w:r>
        <w:rPr>
          <w:b w:val="0"/>
        </w:rPr>
        <w:t>Lint: passed.</w:t>
      </w:r>
    </w:p>
    <w:p>
      <w:pPr>
        <w:pStyle w:val="ListParagraph"/>
      </w:pPr>
      <w:r>
        <w:rPr>
          <w:b w:val="0"/>
        </w:rPr>
        <w:t>Typecheck: passed.</w:t>
      </w:r>
    </w:p>
    <w:p>
      <w:pPr>
        <w:pStyle w:val="ListParagraph"/>
      </w:pPr>
      <w:r>
        <w:rPr>
          <w:b w:val="0"/>
        </w:rPr>
        <w:t>Production build: passed.</w:t>
      </w:r>
    </w:p>
    <w:p>
      <w:pPr>
        <w:pStyle w:val="ListParagraph"/>
      </w:pPr>
      <w:r>
        <w:rPr>
          <w:b w:val="0"/>
        </w:rPr>
        <w:t>Working tree: clean.</w:t>
      </w:r>
    </w:p>
    <w:p>
      <w:r>
        <w:rPr>
          <w:b w:val="0"/>
        </w:rPr>
        <w:t>Approved regression-fix commit: 8c98575d4f3e28fcd6e6ef199086c3afa0949eb2. Main and origin/main both resolved to this SHA when the baseline was established.</w:t>
      </w:r>
    </w:p>
    <w:p>
      <w:r>
        <w:rPr>
          <w:b/>
        </w:rPr>
        <w:t>Baseline disposition: 8c98575d4f3e28fcd6e6ef199086c3afa0949eb2 is the authoritative implementation baseline for all subsequent PFI Assessment Experience &amp; Output work. I5 had not started when this baseline was established.</w:t>
      </w:r>
    </w:p>
    <w:p>
      <w:pPr>
        <w:pStyle w:val="ListParagraph"/>
      </w:pPr>
      <w:r>
        <w:rPr>
          <w:b w:val="0"/>
        </w:rPr>
        <w:t>AO-55 — The Post-I4 regression gate is CLOSED at approved commit 8c98575d4f3e28fcd6e6ef199086c3afa0949eb2. The correction is test-only, does not modify production behavior or any locked Gate 1–4 decision, and establishes that SHA as the authoritative implementation baseline.</w:t>
      </w:r>
    </w:p>
    <w:p>
      <w:pPr>
        <w:pStyle w:val="ListParagraph"/>
      </w:pPr>
      <w:r>
        <w:t>13.6 I6 Integration and Release-Readiness Closure</w:t>
      </w:r>
    </w:p>
    <w:p>
      <w:pPr>
        <w:pStyle w:val="ListParagraph"/>
      </w:pPr>
      <w:r>
        <w:t>IMPLEMENTATION STATUS: COMPLETE</w:t>
      </w:r>
    </w:p>
    <w:p>
      <w:pPr>
        <w:pStyle w:val="ListParagraph"/>
      </w:pPr>
      <w:r>
        <w:t>RELEASE AUTHORIZATION: NOT GRANTED — RELEASE GATES REMAIN</w:t>
      </w:r>
    </w:p>
    <w:p>
      <w:pPr>
        <w:pStyle w:val="ListParagraph"/>
      </w:pPr>
      <w:r>
        <w:t>Verification: frozen install, lint, typecheck, 93/93 automated tests, and production build passed. The browser-backed integration path reproduced MP-01 full-precision controls and respondent display, reconstructed assessment and commercial state across runtime instances, rejected malformed persisted state without overwriting it, and preserved contact-scoped consent plus assessment-instance-scoped Discussion Request history. Runtime checks covered 320, 375, 768, and 1280 CSS pixels with no horizontal overflow; keyboard/focus behavior for the N/A dialog; semantic roles/names/states; target treatment; and measured WCAG 2.2 AA text contrast.</w:t>
      </w:r>
    </w:p>
    <w:p>
      <w:pPr>
        <w:pStyle w:val="ListParagraph"/>
      </w:pPr>
      <w:r>
        <w:t>Empirical disposition: E-01 through E-10 have not been executed with participants. Each remains NOT EXECUTED — RELEASE GATE OPEN. Before testing, each item requires preregistered participant sample and relevant segments, task-success criteria, observation-coding rules, and a systematic-failure threshold; evidence and PASS/refine/narrow-reopen disposition must then be recorded.</w:t>
      </w:r>
    </w:p>
    <w:p>
      <w:pPr>
        <w:pStyle w:val="ListParagraph"/>
      </w:pPr>
      <w:r>
        <w:t>Release dependencies: real assistive-technology speech-output verification; additional supported-browser QA; production hosting and direct-route fallback; durable persistence; cross-device recovery transport/authentication if offered; approved privacy/storage and retention/deletion policies; consent audit requirements; Discussion Request and commercial-action delivery/handling; monitoring; environment/secrets configuration; and analytics/telemetry decisions where required.</w:t>
      </w:r>
    </w:p>
    <w:p>
      <w:pPr>
        <w:pStyle w:val="ListParagraph"/>
      </w:pPr>
      <w:r>
        <w:t>Baseline discipline: implementation complete does not mean release authorized. Independent I6 review may evaluate this candidate, but no public deployment may proceed until the empirical, runtime, infrastructure, and policy gates above have recorded evidence and disposition.</w:t>
      </w:r>
    </w:p>
    <w:p>
      <w:pPr>
        <w:pStyle w:val="ListParagraph"/>
      </w:pPr>
      <w:r>
        <w:t>AO-56 — I6 Integration &amp; Release Readiness closes with Classification B: IMPLEMENTATION COMPLETE — RELEASE GATES REMAIN. The integrated build has no known blocking implementation defect. Production release remains unauthorized until E-01–E-10, remaining assistive-technology/browser verification, and production infrastructure/policy dependencies are closed with recorded evidence. No locked methodology, Gate 1–4 architecture, scoring rule, output rule, or commercial-scope decision changes.</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2937"/>
      <w:sz w:val="26"/>
      <w:szCs w:val="26"/>
    </w:rPr>
  </w:style>
  <w:style w:type="paragraph" w:styleId="Heading2">
    <w:name w:val="Heading 2"/>
    <w:basedOn w:val="Normal"/>
    <w:next w:val="Normal"/>
    <w:pPr>
      <w:spacing w:after="120" w:before="240"/>
    </w:pPr>
    <w:rPr>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2026-08-14T17:19:55.378Z</dcterms:created>
  <dcterms:modified xsi:type="dcterms:W3CDTF">2026-08-14T17:19:55.390Z</dcterms:modified>
  <dc:title>PFI Assessment Experience &amp; Output Working Record v1.11.2</dc:title>
  <dc:subject>Authoritative implementation-design working record through the Post-I4 regression closure</dc:subject>
</cp:coreProperties>
</file>

<file path=docProps/custom.xml><?xml version="1.0" encoding="utf-8"?>
<Properties xmlns="http://schemas.openxmlformats.org/officeDocument/2006/custom-properties" xmlns:vt="http://schemas.openxmlformats.org/officeDocument/2006/docPropsVTypes"/>
</file>