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F9D3" w14:textId="1DD2FA99" w:rsidR="00566ED8" w:rsidRDefault="00000000">
      <w:pPr>
        <w:spacing w:after="240"/>
      </w:pPr>
      <w:r>
        <w:rPr>
          <w:b/>
          <w:bCs/>
        </w:rPr>
        <w:t xml:space="preserve">Streamlining Success: The </w:t>
      </w:r>
      <w:hyperlink r:id="rId5" w:history="1">
        <w:r w:rsidR="00171EE3" w:rsidRPr="00171EE3">
          <w:rPr>
            <w:rStyle w:val="Hyperlink"/>
            <w:rFonts w:ascii="Arial" w:hAnsi="Arial" w:cs="Arial"/>
            <w:b/>
            <w:bCs/>
            <w:color w:val="auto"/>
            <w:sz w:val="20"/>
            <w:szCs w:val="20"/>
          </w:rPr>
          <w:t>Role of Credentialing</w:t>
        </w:r>
        <w:r w:rsidR="00171EE3">
          <w:rPr>
            <w:rStyle w:val="Hyperlink"/>
            <w:rFonts w:ascii="Arial" w:hAnsi="Arial" w:cs="Arial"/>
            <w:color w:val="1155CC"/>
            <w:sz w:val="20"/>
            <w:szCs w:val="20"/>
          </w:rPr>
          <w:t xml:space="preserve"> </w:t>
        </w:r>
      </w:hyperlink>
      <w:r w:rsidR="00171EE3">
        <w:rPr>
          <w:b/>
          <w:bCs/>
        </w:rPr>
        <w:t xml:space="preserve"> </w:t>
      </w:r>
      <w:r>
        <w:rPr>
          <w:b/>
          <w:bCs/>
        </w:rPr>
        <w:t>&amp; Enrollment Services in Cures Medical Billing</w:t>
      </w:r>
    </w:p>
    <w:p w14:paraId="301BCA20" w14:textId="77777777" w:rsidR="00566ED8" w:rsidRDefault="00000000">
      <w:pPr>
        <w:spacing w:before="240" w:after="240"/>
      </w:pPr>
      <w:r>
        <w:rPr>
          <w:b/>
          <w:bCs/>
        </w:rPr>
        <w:t>Introduction:</w:t>
      </w:r>
    </w:p>
    <w:p w14:paraId="3526097D" w14:textId="0896FFDC" w:rsidR="00566ED8" w:rsidRPr="00171EE3" w:rsidRDefault="00000000">
      <w:pPr>
        <w:spacing w:before="240" w:after="240"/>
        <w:rPr>
          <w:vertAlign w:val="subscript"/>
        </w:rPr>
      </w:pPr>
      <w:r>
        <w:t xml:space="preserve">In the ever-evolving landscape of healthcare, efficient credentialing and enrollment processes are integral to the success of medical practices. </w:t>
      </w:r>
      <w:r w:rsidRPr="00171EE3">
        <w:t>Cures Medical Billing</w:t>
      </w:r>
      <w:r>
        <w:t xml:space="preserve"> takes center stage in this domain, offering comprehensive credentialing &amp; enrollment services designed to streamline operations and empower healthcare providers.</w:t>
      </w:r>
    </w:p>
    <w:p w14:paraId="0F46CE6A" w14:textId="77777777" w:rsidR="00566ED8" w:rsidRDefault="00000000">
      <w:pPr>
        <w:spacing w:before="240" w:after="240"/>
      </w:pPr>
      <w:r>
        <w:rPr>
          <w:b/>
          <w:bCs/>
        </w:rPr>
        <w:t>The Significance of Credentialing:</w:t>
      </w:r>
    </w:p>
    <w:p w14:paraId="2A696F5B" w14:textId="101CE821" w:rsidR="00566ED8" w:rsidRDefault="00AC1A8B">
      <w:pPr>
        <w:spacing w:before="240" w:after="240"/>
      </w:pPr>
      <w:hyperlink r:id="rId6" w:history="1">
        <w:r>
          <w:rPr>
            <w:rStyle w:val="Hyperlink"/>
            <w:rFonts w:ascii="Arial" w:hAnsi="Arial" w:cs="Arial"/>
            <w:color w:val="1155CC"/>
            <w:sz w:val="20"/>
            <w:szCs w:val="20"/>
            <w:shd w:val="clear" w:color="auto" w:fill="FFFFFF"/>
          </w:rPr>
          <w:t xml:space="preserve">Credentialing </w:t>
        </w:r>
      </w:hyperlink>
      <w:r w:rsidR="00000000">
        <w:t xml:space="preserve"> is the foundation upon which trustworthy healthcare is built. Cures Medical Billing ensures that practitioners undergo rigorous credentialing processes, verifying their qualifications, licenses, and professional backgrounds. This meticulous approach not only establishes credibility but also contributes to building patient trust.</w:t>
      </w:r>
    </w:p>
    <w:p w14:paraId="29E1CE67" w14:textId="77777777" w:rsidR="00566ED8" w:rsidRDefault="00000000">
      <w:pPr>
        <w:spacing w:before="240" w:after="240"/>
      </w:pPr>
      <w:r>
        <w:rPr>
          <w:b/>
          <w:bCs/>
        </w:rPr>
        <w:t>Enrollment Excellence:</w:t>
      </w:r>
    </w:p>
    <w:p w14:paraId="56B7FED0" w14:textId="77777777" w:rsidR="00566ED8" w:rsidRDefault="00000000">
      <w:pPr>
        <w:spacing w:before="240" w:after="240"/>
      </w:pPr>
      <w:r>
        <w:t>Navigating the complexities of insurance networks requires expertise. Cures Medical Billing excels in enrollment services, guiding healthcare providers through the intricacies of joining insurance panels. Our team ensures that practitioners are seamlessly enrolled, allowing them to focus on delivering quality care while we handle the administrative intricacies.</w:t>
      </w:r>
    </w:p>
    <w:p w14:paraId="6BB750A5" w14:textId="116BC4F7" w:rsidR="00566ED8" w:rsidRDefault="00000000">
      <w:pPr>
        <w:spacing w:before="240" w:after="240"/>
      </w:pPr>
      <w:r>
        <w:rPr>
          <w:b/>
          <w:bCs/>
        </w:rPr>
        <w:t xml:space="preserve">Benefits of Cures Medical Billing's </w:t>
      </w:r>
      <w:hyperlink r:id="rId7" w:history="1">
        <w:r w:rsidR="00AC1A8B" w:rsidRPr="00AC1A8B">
          <w:rPr>
            <w:rStyle w:val="Hyperlink"/>
            <w:rFonts w:ascii="Arial" w:hAnsi="Arial" w:cs="Arial"/>
            <w:b/>
            <w:bCs/>
            <w:color w:val="auto"/>
            <w:sz w:val="20"/>
            <w:szCs w:val="20"/>
            <w:shd w:val="clear" w:color="auto" w:fill="FFFFFF"/>
          </w:rPr>
          <w:t>Credentialing &amp; Enrollment Services</w:t>
        </w:r>
      </w:hyperlink>
      <w:r w:rsidRPr="00AC1A8B">
        <w:rPr>
          <w:b/>
          <w:bCs/>
        </w:rPr>
        <w:t>:</w:t>
      </w:r>
    </w:p>
    <w:p w14:paraId="729DB709" w14:textId="77777777" w:rsidR="00566ED8" w:rsidRDefault="00000000">
      <w:pPr>
        <w:numPr>
          <w:ilvl w:val="0"/>
          <w:numId w:val="1"/>
        </w:numPr>
        <w:spacing w:before="240"/>
        <w:ind w:hanging="280"/>
      </w:pPr>
      <w:r>
        <w:rPr>
          <w:b/>
          <w:bCs/>
        </w:rPr>
        <w:t>Time Efficiency:</w:t>
      </w:r>
    </w:p>
    <w:p w14:paraId="2783C018" w14:textId="77777777" w:rsidR="00566ED8" w:rsidRDefault="00000000">
      <w:pPr>
        <w:numPr>
          <w:ilvl w:val="0"/>
          <w:numId w:val="1"/>
        </w:numPr>
        <w:ind w:hanging="280"/>
      </w:pPr>
      <w:r>
        <w:t>Our streamlined processes save valuable time for healthcare providers, enabling them to dedicate more hours to patient care.</w:t>
      </w:r>
    </w:p>
    <w:p w14:paraId="046D1AE2" w14:textId="77777777" w:rsidR="00566ED8" w:rsidRDefault="00000000">
      <w:pPr>
        <w:numPr>
          <w:ilvl w:val="0"/>
          <w:numId w:val="1"/>
        </w:numPr>
        <w:ind w:hanging="280"/>
      </w:pPr>
      <w:r>
        <w:rPr>
          <w:b/>
          <w:bCs/>
        </w:rPr>
        <w:t>Reduced administrative burden:</w:t>
      </w:r>
    </w:p>
    <w:p w14:paraId="68AD127C" w14:textId="77777777" w:rsidR="00566ED8" w:rsidRDefault="00000000">
      <w:pPr>
        <w:numPr>
          <w:ilvl w:val="0"/>
          <w:numId w:val="1"/>
        </w:numPr>
        <w:ind w:hanging="280"/>
      </w:pPr>
      <w:r>
        <w:t>By handling credentialing and enrollment intricacies, we alleviate the administrative load on healthcare practitioners, allowing them to concentrate on their core responsibilities.</w:t>
      </w:r>
    </w:p>
    <w:p w14:paraId="52AB1CB3" w14:textId="77777777" w:rsidR="00566ED8" w:rsidRDefault="00000000">
      <w:pPr>
        <w:numPr>
          <w:ilvl w:val="0"/>
          <w:numId w:val="1"/>
        </w:numPr>
        <w:ind w:hanging="280"/>
      </w:pPr>
      <w:r>
        <w:rPr>
          <w:b/>
          <w:bCs/>
        </w:rPr>
        <w:t>Network Expansion:</w:t>
      </w:r>
    </w:p>
    <w:p w14:paraId="0978F053" w14:textId="77777777" w:rsidR="00566ED8" w:rsidRDefault="00000000">
      <w:pPr>
        <w:numPr>
          <w:ilvl w:val="0"/>
          <w:numId w:val="1"/>
        </w:numPr>
        <w:ind w:hanging="280"/>
      </w:pPr>
      <w:r>
        <w:t>Cures Medical Billing facilitates practitioners' inclusion in insurance networks, expanding their reach and accessibility to a broader patient base.</w:t>
      </w:r>
    </w:p>
    <w:p w14:paraId="7FA845D6" w14:textId="77777777" w:rsidR="00566ED8" w:rsidRDefault="00000000">
      <w:pPr>
        <w:numPr>
          <w:ilvl w:val="0"/>
          <w:numId w:val="1"/>
        </w:numPr>
        <w:ind w:hanging="280"/>
      </w:pPr>
      <w:r>
        <w:rPr>
          <w:b/>
          <w:bCs/>
        </w:rPr>
        <w:t>Ensured Compliance:</w:t>
      </w:r>
    </w:p>
    <w:p w14:paraId="758C30F4" w14:textId="77777777" w:rsidR="00566ED8" w:rsidRDefault="00000000">
      <w:pPr>
        <w:numPr>
          <w:ilvl w:val="0"/>
          <w:numId w:val="1"/>
        </w:numPr>
        <w:spacing w:after="240"/>
        <w:ind w:hanging="280"/>
      </w:pPr>
      <w:r>
        <w:t>Our services ensure that practitioners meet all regulatory and compliance standards, mitigating the risks associated with improper credentialing.</w:t>
      </w:r>
    </w:p>
    <w:p w14:paraId="1E3EF78E" w14:textId="77777777" w:rsidR="00566ED8" w:rsidRDefault="00000000">
      <w:pPr>
        <w:spacing w:before="240" w:after="240"/>
      </w:pPr>
      <w:r>
        <w:rPr>
          <w:b/>
          <w:bCs/>
        </w:rPr>
        <w:t>Why choose Cures Medical Billing?</w:t>
      </w:r>
    </w:p>
    <w:p w14:paraId="70ABC040" w14:textId="77777777" w:rsidR="00566ED8" w:rsidRDefault="00000000">
      <w:pPr>
        <w:numPr>
          <w:ilvl w:val="0"/>
          <w:numId w:val="2"/>
        </w:numPr>
        <w:spacing w:before="240"/>
        <w:ind w:hanging="204"/>
      </w:pPr>
      <w:r>
        <w:rPr>
          <w:b/>
          <w:bCs/>
        </w:rPr>
        <w:t>Industry Expertise:</w:t>
      </w:r>
      <w:r>
        <w:t xml:space="preserve"> With in-depth knowledge of healthcare regulations, we navigate the credentialing and enrollment landscape with precision.</w:t>
      </w:r>
    </w:p>
    <w:p w14:paraId="07FB43E6" w14:textId="77777777" w:rsidR="00566ED8" w:rsidRDefault="00000000">
      <w:pPr>
        <w:numPr>
          <w:ilvl w:val="0"/>
          <w:numId w:val="2"/>
        </w:numPr>
        <w:ind w:hanging="204"/>
      </w:pPr>
      <w:r>
        <w:rPr>
          <w:b/>
          <w:bCs/>
        </w:rPr>
        <w:t>Personalized Solutions:</w:t>
      </w:r>
      <w:r>
        <w:t xml:space="preserve"> Recognizing the unique needs of each practitioner, our services are tailored to align seamlessly with individual requirements.</w:t>
      </w:r>
    </w:p>
    <w:p w14:paraId="4D6890B7" w14:textId="77777777" w:rsidR="00566ED8" w:rsidRDefault="00000000">
      <w:pPr>
        <w:numPr>
          <w:ilvl w:val="0"/>
          <w:numId w:val="2"/>
        </w:numPr>
        <w:spacing w:after="240"/>
        <w:ind w:hanging="204"/>
      </w:pPr>
      <w:r>
        <w:rPr>
          <w:b/>
          <w:bCs/>
        </w:rPr>
        <w:t>Dedicated Support:</w:t>
      </w:r>
      <w:r>
        <w:t xml:space="preserve"> Cures Medical Billing provides ongoing support, ensuring practitioners remain credentialed and enrolled without disruptions.</w:t>
      </w:r>
    </w:p>
    <w:p w14:paraId="3F84A53B" w14:textId="77777777" w:rsidR="00566ED8" w:rsidRDefault="00000000">
      <w:pPr>
        <w:spacing w:before="240" w:after="240"/>
      </w:pPr>
      <w:r>
        <w:rPr>
          <w:b/>
          <w:bCs/>
        </w:rPr>
        <w:lastRenderedPageBreak/>
        <w:t>Conclusion:</w:t>
      </w:r>
    </w:p>
    <w:p w14:paraId="5EC39FB9" w14:textId="77777777" w:rsidR="00566ED8" w:rsidRDefault="00000000">
      <w:pPr>
        <w:spacing w:before="240" w:after="240"/>
      </w:pPr>
      <w:r>
        <w:t>In a healthcare environment where efficiency is paramount, Cures Medical Billing emerges as a strategic partner, empowering practitioners with seamless credentialing &amp; enrollment services. As healthcare providers embrace a future focused on patient care, let Cures Medical Billing handle the intricacies that pave the way for their success. Elevate your practice with our expertise – where streamlined credentialing and enrollment meet excellence in healthcare.</w:t>
      </w:r>
    </w:p>
    <w:p w14:paraId="11D36D80" w14:textId="77777777" w:rsidR="00566ED8" w:rsidRDefault="00566ED8">
      <w:pPr>
        <w:spacing w:before="240" w:after="240"/>
      </w:pPr>
    </w:p>
    <w:p w14:paraId="771C938D" w14:textId="77777777" w:rsidR="00566ED8" w:rsidRDefault="00566ED8">
      <w:pPr>
        <w:spacing w:before="240" w:after="240"/>
      </w:pPr>
    </w:p>
    <w:p w14:paraId="1E557013" w14:textId="77777777" w:rsidR="00566ED8" w:rsidRDefault="00566ED8">
      <w:pPr>
        <w:spacing w:before="240" w:after="240"/>
      </w:pPr>
    </w:p>
    <w:sectPr w:rsidR="00566ED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5D002248">
      <w:start w:val="1"/>
      <w:numFmt w:val="bullet"/>
      <w:lvlText w:val=""/>
      <w:lvlJc w:val="left"/>
      <w:pPr>
        <w:ind w:left="720" w:hanging="360"/>
      </w:pPr>
      <w:rPr>
        <w:rFonts w:ascii="Symbol" w:hAnsi="Symbol"/>
      </w:rPr>
    </w:lvl>
    <w:lvl w:ilvl="1" w:tplc="80BAD626">
      <w:start w:val="1"/>
      <w:numFmt w:val="bullet"/>
      <w:lvlText w:val="o"/>
      <w:lvlJc w:val="left"/>
      <w:pPr>
        <w:tabs>
          <w:tab w:val="num" w:pos="1440"/>
        </w:tabs>
        <w:ind w:left="1440" w:hanging="360"/>
      </w:pPr>
      <w:rPr>
        <w:rFonts w:ascii="Courier New" w:hAnsi="Courier New"/>
      </w:rPr>
    </w:lvl>
    <w:lvl w:ilvl="2" w:tplc="04C2FCFE">
      <w:start w:val="1"/>
      <w:numFmt w:val="bullet"/>
      <w:lvlText w:val=""/>
      <w:lvlJc w:val="left"/>
      <w:pPr>
        <w:tabs>
          <w:tab w:val="num" w:pos="2160"/>
        </w:tabs>
        <w:ind w:left="2160" w:hanging="360"/>
      </w:pPr>
      <w:rPr>
        <w:rFonts w:ascii="Wingdings" w:hAnsi="Wingdings"/>
      </w:rPr>
    </w:lvl>
    <w:lvl w:ilvl="3" w:tplc="43EE6F54">
      <w:start w:val="1"/>
      <w:numFmt w:val="bullet"/>
      <w:lvlText w:val=""/>
      <w:lvlJc w:val="left"/>
      <w:pPr>
        <w:tabs>
          <w:tab w:val="num" w:pos="2880"/>
        </w:tabs>
        <w:ind w:left="2880" w:hanging="360"/>
      </w:pPr>
      <w:rPr>
        <w:rFonts w:ascii="Symbol" w:hAnsi="Symbol"/>
      </w:rPr>
    </w:lvl>
    <w:lvl w:ilvl="4" w:tplc="7E18E7E4">
      <w:start w:val="1"/>
      <w:numFmt w:val="bullet"/>
      <w:lvlText w:val="o"/>
      <w:lvlJc w:val="left"/>
      <w:pPr>
        <w:tabs>
          <w:tab w:val="num" w:pos="3600"/>
        </w:tabs>
        <w:ind w:left="3600" w:hanging="360"/>
      </w:pPr>
      <w:rPr>
        <w:rFonts w:ascii="Courier New" w:hAnsi="Courier New"/>
      </w:rPr>
    </w:lvl>
    <w:lvl w:ilvl="5" w:tplc="CB18139C">
      <w:start w:val="1"/>
      <w:numFmt w:val="bullet"/>
      <w:lvlText w:val=""/>
      <w:lvlJc w:val="left"/>
      <w:pPr>
        <w:tabs>
          <w:tab w:val="num" w:pos="4320"/>
        </w:tabs>
        <w:ind w:left="4320" w:hanging="360"/>
      </w:pPr>
      <w:rPr>
        <w:rFonts w:ascii="Wingdings" w:hAnsi="Wingdings"/>
      </w:rPr>
    </w:lvl>
    <w:lvl w:ilvl="6" w:tplc="B3B46E7C">
      <w:start w:val="1"/>
      <w:numFmt w:val="bullet"/>
      <w:lvlText w:val=""/>
      <w:lvlJc w:val="left"/>
      <w:pPr>
        <w:tabs>
          <w:tab w:val="num" w:pos="5040"/>
        </w:tabs>
        <w:ind w:left="5040" w:hanging="360"/>
      </w:pPr>
      <w:rPr>
        <w:rFonts w:ascii="Symbol" w:hAnsi="Symbol"/>
      </w:rPr>
    </w:lvl>
    <w:lvl w:ilvl="7" w:tplc="E25452A0">
      <w:start w:val="1"/>
      <w:numFmt w:val="bullet"/>
      <w:lvlText w:val="o"/>
      <w:lvlJc w:val="left"/>
      <w:pPr>
        <w:tabs>
          <w:tab w:val="num" w:pos="5760"/>
        </w:tabs>
        <w:ind w:left="5760" w:hanging="360"/>
      </w:pPr>
      <w:rPr>
        <w:rFonts w:ascii="Courier New" w:hAnsi="Courier New"/>
      </w:rPr>
    </w:lvl>
    <w:lvl w:ilvl="8" w:tplc="5A946736">
      <w:start w:val="1"/>
      <w:numFmt w:val="bullet"/>
      <w:lvlText w:val=""/>
      <w:lvlJc w:val="left"/>
      <w:pPr>
        <w:tabs>
          <w:tab w:val="num" w:pos="6480"/>
        </w:tabs>
        <w:ind w:left="6480" w:hanging="360"/>
      </w:pPr>
      <w:rPr>
        <w:rFonts w:ascii="Wingdings" w:hAnsi="Wingdings"/>
      </w:rPr>
    </w:lvl>
  </w:abstractNum>
  <w:num w:numId="1" w16cid:durableId="1255213734">
    <w:abstractNumId w:val="0"/>
  </w:num>
  <w:num w:numId="2" w16cid:durableId="73108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566ED8"/>
    <w:rsid w:val="00171EE3"/>
    <w:rsid w:val="00566ED8"/>
    <w:rsid w:val="00AC1A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00F9C"/>
  <w15:docId w15:val="{5A3DE220-9B9A-426F-B446-58212710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unhideWhenUsed/>
    <w:rsid w:val="00171EE3"/>
    <w:rPr>
      <w:color w:val="0000FF" w:themeColor="hyperlink"/>
      <w:u w:val="single"/>
    </w:rPr>
  </w:style>
  <w:style w:type="character" w:styleId="UnresolvedMention">
    <w:name w:val="Unresolved Mention"/>
    <w:basedOn w:val="DefaultParagraphFont"/>
    <w:uiPriority w:val="99"/>
    <w:semiHidden/>
    <w:unhideWhenUsed/>
    <w:rsid w:val="00171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resm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resmb.com/" TargetMode="External"/><Relationship Id="rId5" Type="http://schemas.openxmlformats.org/officeDocument/2006/relationships/hyperlink" Target="https://curesm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384</Words>
  <Characters>2638</Characters>
  <Application>Microsoft Office Word</Application>
  <DocSecurity>0</DocSecurity>
  <Lines>47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2024-02-26T23:55:00Z</dcterms:created>
  <dcterms:modified xsi:type="dcterms:W3CDTF">2024-02-27T00:08:00Z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6e9751dc7996196194511877da4edf8d04fe7648957f4dad62e7ddc62240edcd</vt:lpwstr>
  </property>
</Properties>
</file>