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D55AB" w14:textId="77777777" w:rsidR="006F19A1" w:rsidRDefault="00000000">
      <w:pPr>
        <w:spacing w:after="240"/>
      </w:pPr>
      <w:r>
        <w:rPr>
          <w:b/>
          <w:bCs/>
        </w:rPr>
        <w:t>Seamless Healthcare Operations: Cures Medical Billing's Eligibility &amp; Benefit Verification Services</w:t>
      </w:r>
    </w:p>
    <w:p w14:paraId="6B0C39EA" w14:textId="77777777" w:rsidR="006F19A1" w:rsidRDefault="00000000">
      <w:pPr>
        <w:spacing w:before="240" w:after="240"/>
      </w:pPr>
      <w:r>
        <w:rPr>
          <w:b/>
          <w:bCs/>
        </w:rPr>
        <w:t>Introduction:</w:t>
      </w:r>
    </w:p>
    <w:p w14:paraId="4F16BA12" w14:textId="6331F2E5" w:rsidR="006F19A1" w:rsidRDefault="00000000">
      <w:pPr>
        <w:spacing w:before="240" w:after="240"/>
      </w:pPr>
      <w:r>
        <w:t xml:space="preserve">In the realm of healthcare, navigating the complexities of insurance </w:t>
      </w:r>
      <w:hyperlink r:id="rId5" w:history="1">
        <w:r w:rsidR="00394BD4" w:rsidRPr="00394BD4">
          <w:rPr>
            <w:rStyle w:val="Hyperlink"/>
            <w:rFonts w:asciiTheme="majorBidi" w:hAnsiTheme="majorBidi" w:cstheme="majorBidi"/>
            <w:color w:val="auto"/>
          </w:rPr>
          <w:t>eligibility and benefits</w:t>
        </w:r>
        <w:r w:rsidR="00394BD4">
          <w:rPr>
            <w:rStyle w:val="Hyperlink"/>
            <w:rFonts w:ascii="Arial" w:hAnsi="Arial" w:cs="Arial"/>
            <w:color w:val="1155CC"/>
            <w:sz w:val="20"/>
            <w:szCs w:val="20"/>
          </w:rPr>
          <w:t xml:space="preserve"> </w:t>
        </w:r>
      </w:hyperlink>
      <w:r>
        <w:t>is a critical component of financial success. Cures Medical Billing takes the lead in simplifying this process with its advanced eligibility &amp; benefit verification services. Designed to enhance efficiency and accuracy, these services form the cornerstone of a seamless healthcare operation.</w:t>
      </w:r>
    </w:p>
    <w:p w14:paraId="35ED2C51" w14:textId="77777777" w:rsidR="006F19A1" w:rsidRDefault="00000000">
      <w:pPr>
        <w:spacing w:before="240" w:after="240"/>
      </w:pPr>
      <w:r>
        <w:rPr>
          <w:b/>
          <w:bCs/>
        </w:rPr>
        <w:t>The Significance of Eligibility &amp; Benefit Verification:</w:t>
      </w:r>
    </w:p>
    <w:p w14:paraId="66C9E8DA" w14:textId="0424A7FA" w:rsidR="006F19A1" w:rsidRDefault="00000000">
      <w:pPr>
        <w:spacing w:before="240" w:after="240"/>
      </w:pPr>
      <w:r>
        <w:t xml:space="preserve">The journey towards successful medical billing begins with accurate </w:t>
      </w:r>
      <w:hyperlink r:id="rId6" w:history="1">
        <w:r w:rsidR="00394BD4" w:rsidRPr="00394BD4">
          <w:rPr>
            <w:rStyle w:val="Hyperlink"/>
            <w:rFonts w:asciiTheme="majorBidi" w:hAnsiTheme="majorBidi" w:cstheme="majorBidi"/>
            <w:color w:val="auto"/>
          </w:rPr>
          <w:t>eligibility and benefits</w:t>
        </w:r>
        <w:r w:rsidR="00394BD4">
          <w:rPr>
            <w:rStyle w:val="Hyperlink"/>
            <w:rFonts w:ascii="Arial" w:hAnsi="Arial" w:cs="Arial"/>
            <w:color w:val="1155CC"/>
            <w:sz w:val="20"/>
            <w:szCs w:val="20"/>
          </w:rPr>
          <w:t xml:space="preserve"> </w:t>
        </w:r>
      </w:hyperlink>
      <w:r>
        <w:t>verification. Ensuring that patients' insurance coverage is validated and benefits are verified not only streamlines the administrative process but also sets the stage for transparent and efficient financial transactions.</w:t>
      </w:r>
    </w:p>
    <w:p w14:paraId="6AF6F3B2" w14:textId="77777777" w:rsidR="006F19A1" w:rsidRDefault="00000000">
      <w:pPr>
        <w:spacing w:before="240" w:after="240"/>
      </w:pPr>
      <w:r>
        <w:rPr>
          <w:b/>
          <w:bCs/>
        </w:rPr>
        <w:t>Comprehensive Services for Healthcare Providers:</w:t>
      </w:r>
    </w:p>
    <w:p w14:paraId="1EEFE136" w14:textId="77777777" w:rsidR="006F19A1" w:rsidRDefault="00000000">
      <w:pPr>
        <w:numPr>
          <w:ilvl w:val="0"/>
          <w:numId w:val="1"/>
        </w:numPr>
        <w:spacing w:before="240"/>
        <w:ind w:hanging="280"/>
      </w:pPr>
      <w:r>
        <w:rPr>
          <w:b/>
          <w:bCs/>
        </w:rPr>
        <w:t>Real-Time Eligibility Verification:</w:t>
      </w:r>
    </w:p>
    <w:p w14:paraId="739F9DAB" w14:textId="77777777" w:rsidR="006F19A1" w:rsidRDefault="00000000">
      <w:pPr>
        <w:numPr>
          <w:ilvl w:val="0"/>
          <w:numId w:val="1"/>
        </w:numPr>
        <w:ind w:hanging="280"/>
      </w:pPr>
      <w:r>
        <w:t>Cures Medical Billing employs advanced technologies to provide real-time eligibility verification, allowing healthcare providers to access up-to-date information on patients' insurance coverage.</w:t>
      </w:r>
    </w:p>
    <w:p w14:paraId="4D70AD25" w14:textId="77777777" w:rsidR="006F19A1" w:rsidRDefault="00000000">
      <w:pPr>
        <w:numPr>
          <w:ilvl w:val="0"/>
          <w:numId w:val="1"/>
        </w:numPr>
        <w:ind w:hanging="280"/>
      </w:pPr>
      <w:r>
        <w:rPr>
          <w:b/>
          <w:bCs/>
        </w:rPr>
        <w:t>Benefits Assessment:</w:t>
      </w:r>
    </w:p>
    <w:p w14:paraId="76AF4060" w14:textId="77777777" w:rsidR="006F19A1" w:rsidRDefault="00000000">
      <w:pPr>
        <w:numPr>
          <w:ilvl w:val="0"/>
          <w:numId w:val="1"/>
        </w:numPr>
        <w:ind w:hanging="280"/>
      </w:pPr>
      <w:r>
        <w:t>Our services extend beyond eligibility, encompassing a thorough assessment of patients' benefits. This includes understanding coverage limits, co-pays, and deductibles, ensuring clarity for both providers and patients.</w:t>
      </w:r>
    </w:p>
    <w:p w14:paraId="3C459E35" w14:textId="77777777" w:rsidR="006F19A1" w:rsidRDefault="00000000">
      <w:pPr>
        <w:numPr>
          <w:ilvl w:val="0"/>
          <w:numId w:val="1"/>
        </w:numPr>
        <w:ind w:hanging="280"/>
      </w:pPr>
      <w:r>
        <w:rPr>
          <w:b/>
          <w:bCs/>
        </w:rPr>
        <w:t>Insurance Discovery:</w:t>
      </w:r>
    </w:p>
    <w:p w14:paraId="55D3307E" w14:textId="77777777" w:rsidR="006F19A1" w:rsidRDefault="00000000">
      <w:pPr>
        <w:numPr>
          <w:ilvl w:val="0"/>
          <w:numId w:val="1"/>
        </w:numPr>
        <w:spacing w:after="240"/>
        <w:ind w:hanging="280"/>
      </w:pPr>
      <w:r>
        <w:t>Cures Medical Billing identifies additional insurance coverage that patients may possess, facilitating maximum reimbursement potential for healthcare services rendered.</w:t>
      </w:r>
    </w:p>
    <w:p w14:paraId="21F8386D" w14:textId="77777777" w:rsidR="006F19A1" w:rsidRDefault="00000000">
      <w:pPr>
        <w:spacing w:before="240" w:after="240"/>
      </w:pPr>
      <w:r>
        <w:rPr>
          <w:b/>
          <w:bCs/>
        </w:rPr>
        <w:t>Key Benefits of Cures Medical Billing's Services:</w:t>
      </w:r>
    </w:p>
    <w:p w14:paraId="4A998198" w14:textId="77777777" w:rsidR="006F19A1" w:rsidRDefault="00000000">
      <w:pPr>
        <w:numPr>
          <w:ilvl w:val="0"/>
          <w:numId w:val="2"/>
        </w:numPr>
        <w:spacing w:before="240"/>
        <w:ind w:hanging="280"/>
      </w:pPr>
      <w:r>
        <w:rPr>
          <w:b/>
          <w:bCs/>
        </w:rPr>
        <w:t>Enhanced Revenue Collection:</w:t>
      </w:r>
    </w:p>
    <w:p w14:paraId="7E0D6F71" w14:textId="24752C84" w:rsidR="006F19A1" w:rsidRDefault="00000000">
      <w:pPr>
        <w:numPr>
          <w:ilvl w:val="0"/>
          <w:numId w:val="2"/>
        </w:numPr>
        <w:ind w:hanging="280"/>
      </w:pPr>
      <w:r>
        <w:t>Accurate</w:t>
      </w:r>
      <w:r w:rsidRPr="00394BD4">
        <w:rPr>
          <w:rFonts w:asciiTheme="majorBidi" w:hAnsiTheme="majorBidi" w:cstheme="majorBidi"/>
        </w:rPr>
        <w:t xml:space="preserve"> </w:t>
      </w:r>
      <w:hyperlink r:id="rId7" w:history="1">
        <w:r w:rsidR="00394BD4" w:rsidRPr="00394BD4">
          <w:rPr>
            <w:rStyle w:val="Hyperlink"/>
            <w:rFonts w:asciiTheme="majorBidi" w:hAnsiTheme="majorBidi" w:cstheme="majorBidi"/>
            <w:color w:val="auto"/>
          </w:rPr>
          <w:t xml:space="preserve">eligibility and benefits </w:t>
        </w:r>
      </w:hyperlink>
      <w:r>
        <w:t>verification contribute to optimized revenue collection by ensuring that services rendered align with the patients' insurance coverage.</w:t>
      </w:r>
    </w:p>
    <w:p w14:paraId="64795056" w14:textId="77777777" w:rsidR="006F19A1" w:rsidRDefault="00000000">
      <w:pPr>
        <w:numPr>
          <w:ilvl w:val="0"/>
          <w:numId w:val="2"/>
        </w:numPr>
        <w:ind w:hanging="280"/>
      </w:pPr>
      <w:r>
        <w:rPr>
          <w:b/>
          <w:bCs/>
        </w:rPr>
        <w:t>Reduced Claim Denials:</w:t>
      </w:r>
    </w:p>
    <w:p w14:paraId="1D0BF10D" w14:textId="77777777" w:rsidR="006F19A1" w:rsidRDefault="00000000">
      <w:pPr>
        <w:numPr>
          <w:ilvl w:val="0"/>
          <w:numId w:val="2"/>
        </w:numPr>
        <w:ind w:hanging="280"/>
      </w:pPr>
      <w:r>
        <w:t>By proactively addressing eligibility issues, our services contribute to a significant reduction in claim denials, ensuring a smoother claims processing experience.</w:t>
      </w:r>
    </w:p>
    <w:p w14:paraId="6E2B3239" w14:textId="77777777" w:rsidR="006F19A1" w:rsidRDefault="00000000">
      <w:pPr>
        <w:numPr>
          <w:ilvl w:val="0"/>
          <w:numId w:val="2"/>
        </w:numPr>
        <w:ind w:hanging="280"/>
      </w:pPr>
      <w:r>
        <w:rPr>
          <w:b/>
          <w:bCs/>
        </w:rPr>
        <w:t>Improved Patient Satisfaction:</w:t>
      </w:r>
    </w:p>
    <w:p w14:paraId="0A329EE2" w14:textId="77777777" w:rsidR="006F19A1" w:rsidRDefault="00000000">
      <w:pPr>
        <w:numPr>
          <w:ilvl w:val="0"/>
          <w:numId w:val="2"/>
        </w:numPr>
        <w:spacing w:after="240"/>
        <w:ind w:hanging="280"/>
      </w:pPr>
      <w:r>
        <w:t>Transparent communication about insurance coverage and benefits fosters patient satisfaction, minimizing surprises and facilitating a positive healthcare experience.</w:t>
      </w:r>
    </w:p>
    <w:p w14:paraId="5306066A" w14:textId="77777777" w:rsidR="006F19A1" w:rsidRDefault="00000000">
      <w:pPr>
        <w:spacing w:before="240" w:after="240"/>
      </w:pPr>
      <w:r>
        <w:rPr>
          <w:b/>
          <w:bCs/>
        </w:rPr>
        <w:t>Why Choose Cures Medical Billing?</w:t>
      </w:r>
    </w:p>
    <w:p w14:paraId="2930E0D5" w14:textId="5EA03D5B" w:rsidR="006F19A1" w:rsidRDefault="00000000">
      <w:pPr>
        <w:numPr>
          <w:ilvl w:val="0"/>
          <w:numId w:val="3"/>
        </w:numPr>
        <w:spacing w:before="240"/>
        <w:ind w:hanging="204"/>
      </w:pPr>
      <w:r>
        <w:rPr>
          <w:b/>
          <w:bCs/>
        </w:rPr>
        <w:t>Cutting-Edge Technology:</w:t>
      </w:r>
      <w:r>
        <w:t xml:space="preserve"> Our </w:t>
      </w:r>
      <w:r w:rsidR="00394BD4" w:rsidRPr="00394BD4">
        <w:rPr>
          <w:rFonts w:asciiTheme="majorBidi" w:hAnsiTheme="majorBidi" w:cstheme="majorBidi"/>
        </w:rPr>
        <w:t xml:space="preserve"> </w:t>
      </w:r>
      <w:hyperlink r:id="rId8" w:history="1">
        <w:r w:rsidR="00394BD4" w:rsidRPr="00394BD4">
          <w:rPr>
            <w:rStyle w:val="Hyperlink"/>
            <w:rFonts w:asciiTheme="majorBidi" w:hAnsiTheme="majorBidi" w:cstheme="majorBidi"/>
            <w:color w:val="auto"/>
          </w:rPr>
          <w:t xml:space="preserve">eligibility and benefits </w:t>
        </w:r>
      </w:hyperlink>
      <w:r>
        <w:t>Verification Services leverage advanced technology for real-time and accurate information retrieval.</w:t>
      </w:r>
    </w:p>
    <w:p w14:paraId="532E1A6D" w14:textId="77777777" w:rsidR="006F19A1" w:rsidRDefault="00000000">
      <w:pPr>
        <w:numPr>
          <w:ilvl w:val="0"/>
          <w:numId w:val="3"/>
        </w:numPr>
        <w:ind w:hanging="204"/>
      </w:pPr>
      <w:r>
        <w:rPr>
          <w:b/>
          <w:bCs/>
        </w:rPr>
        <w:lastRenderedPageBreak/>
        <w:t>Customized Solutions:</w:t>
      </w:r>
      <w:r>
        <w:t xml:space="preserve"> Recognizing the unique requirements of each healthcare provider, our services are tailored to seamlessly integrate with existing workflows.</w:t>
      </w:r>
    </w:p>
    <w:p w14:paraId="2AB8B9A4" w14:textId="77777777" w:rsidR="006F19A1" w:rsidRDefault="00000000">
      <w:pPr>
        <w:numPr>
          <w:ilvl w:val="0"/>
          <w:numId w:val="3"/>
        </w:numPr>
        <w:spacing w:after="240"/>
        <w:ind w:hanging="204"/>
      </w:pPr>
      <w:r>
        <w:rPr>
          <w:b/>
          <w:bCs/>
        </w:rPr>
        <w:t>Dedicated Support:</w:t>
      </w:r>
      <w:r>
        <w:t xml:space="preserve"> Cures Medical Billing provides ongoing support, ensuring that healthcare providers have the necessary information to make informed decisions.</w:t>
      </w:r>
    </w:p>
    <w:p w14:paraId="0BB68D97" w14:textId="77777777" w:rsidR="006F19A1" w:rsidRDefault="00000000">
      <w:pPr>
        <w:spacing w:before="240" w:after="240"/>
      </w:pPr>
      <w:r>
        <w:rPr>
          <w:b/>
          <w:bCs/>
        </w:rPr>
        <w:t>Conclusion:</w:t>
      </w:r>
    </w:p>
    <w:p w14:paraId="7562987E" w14:textId="77777777" w:rsidR="006F19A1" w:rsidRDefault="00000000">
      <w:pPr>
        <w:spacing w:before="240" w:after="240"/>
      </w:pPr>
      <w:r>
        <w:t>Cures Medical Billing emerges as a strategic partner in the pursuit of efficient healthcare operations. With our advanced Eligibility &amp; Benefit Verification Services, we empower healthcare providers to navigate the complex landscape of insurance with confidence. Elevate your financial processes, minimize administrative challenges, and foster patient satisfaction with Cures Medical Billing. Choose excellence in eligibility and benefit verification – choose Cures.</w:t>
      </w:r>
    </w:p>
    <w:sectPr w:rsidR="006F19A1">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tplc="F6501C0A">
      <w:start w:val="1"/>
      <w:numFmt w:val="bullet"/>
      <w:lvlText w:val=""/>
      <w:lvlJc w:val="left"/>
      <w:pPr>
        <w:ind w:left="720" w:hanging="360"/>
      </w:pPr>
      <w:rPr>
        <w:rFonts w:ascii="Symbol" w:hAnsi="Symbol"/>
      </w:rPr>
    </w:lvl>
    <w:lvl w:ilvl="1" w:tplc="F1C8055C">
      <w:start w:val="1"/>
      <w:numFmt w:val="bullet"/>
      <w:lvlText w:val="o"/>
      <w:lvlJc w:val="left"/>
      <w:pPr>
        <w:tabs>
          <w:tab w:val="num" w:pos="1440"/>
        </w:tabs>
        <w:ind w:left="1440" w:hanging="360"/>
      </w:pPr>
      <w:rPr>
        <w:rFonts w:ascii="Courier New" w:hAnsi="Courier New"/>
      </w:rPr>
    </w:lvl>
    <w:lvl w:ilvl="2" w:tplc="E4AC51B8">
      <w:start w:val="1"/>
      <w:numFmt w:val="bullet"/>
      <w:lvlText w:val=""/>
      <w:lvlJc w:val="left"/>
      <w:pPr>
        <w:tabs>
          <w:tab w:val="num" w:pos="2160"/>
        </w:tabs>
        <w:ind w:left="2160" w:hanging="360"/>
      </w:pPr>
      <w:rPr>
        <w:rFonts w:ascii="Wingdings" w:hAnsi="Wingdings"/>
      </w:rPr>
    </w:lvl>
    <w:lvl w:ilvl="3" w:tplc="52061D80">
      <w:start w:val="1"/>
      <w:numFmt w:val="bullet"/>
      <w:lvlText w:val=""/>
      <w:lvlJc w:val="left"/>
      <w:pPr>
        <w:tabs>
          <w:tab w:val="num" w:pos="2880"/>
        </w:tabs>
        <w:ind w:left="2880" w:hanging="360"/>
      </w:pPr>
      <w:rPr>
        <w:rFonts w:ascii="Symbol" w:hAnsi="Symbol"/>
      </w:rPr>
    </w:lvl>
    <w:lvl w:ilvl="4" w:tplc="0BCA9ED4">
      <w:start w:val="1"/>
      <w:numFmt w:val="bullet"/>
      <w:lvlText w:val="o"/>
      <w:lvlJc w:val="left"/>
      <w:pPr>
        <w:tabs>
          <w:tab w:val="num" w:pos="3600"/>
        </w:tabs>
        <w:ind w:left="3600" w:hanging="360"/>
      </w:pPr>
      <w:rPr>
        <w:rFonts w:ascii="Courier New" w:hAnsi="Courier New"/>
      </w:rPr>
    </w:lvl>
    <w:lvl w:ilvl="5" w:tplc="D7F8D9DA">
      <w:start w:val="1"/>
      <w:numFmt w:val="bullet"/>
      <w:lvlText w:val=""/>
      <w:lvlJc w:val="left"/>
      <w:pPr>
        <w:tabs>
          <w:tab w:val="num" w:pos="4320"/>
        </w:tabs>
        <w:ind w:left="4320" w:hanging="360"/>
      </w:pPr>
      <w:rPr>
        <w:rFonts w:ascii="Wingdings" w:hAnsi="Wingdings"/>
      </w:rPr>
    </w:lvl>
    <w:lvl w:ilvl="6" w:tplc="36281BB0">
      <w:start w:val="1"/>
      <w:numFmt w:val="bullet"/>
      <w:lvlText w:val=""/>
      <w:lvlJc w:val="left"/>
      <w:pPr>
        <w:tabs>
          <w:tab w:val="num" w:pos="5040"/>
        </w:tabs>
        <w:ind w:left="5040" w:hanging="360"/>
      </w:pPr>
      <w:rPr>
        <w:rFonts w:ascii="Symbol" w:hAnsi="Symbol"/>
      </w:rPr>
    </w:lvl>
    <w:lvl w:ilvl="7" w:tplc="A4BC61A0">
      <w:start w:val="1"/>
      <w:numFmt w:val="bullet"/>
      <w:lvlText w:val="o"/>
      <w:lvlJc w:val="left"/>
      <w:pPr>
        <w:tabs>
          <w:tab w:val="num" w:pos="5760"/>
        </w:tabs>
        <w:ind w:left="5760" w:hanging="360"/>
      </w:pPr>
      <w:rPr>
        <w:rFonts w:ascii="Courier New" w:hAnsi="Courier New"/>
      </w:rPr>
    </w:lvl>
    <w:lvl w:ilvl="8" w:tplc="A9849A5A">
      <w:start w:val="1"/>
      <w:numFmt w:val="bullet"/>
      <w:lvlText w:val=""/>
      <w:lvlJc w:val="left"/>
      <w:pPr>
        <w:tabs>
          <w:tab w:val="num" w:pos="6480"/>
        </w:tabs>
        <w:ind w:left="6480" w:hanging="360"/>
      </w:pPr>
      <w:rPr>
        <w:rFonts w:ascii="Wingdings" w:hAnsi="Wingdings"/>
      </w:rPr>
    </w:lvl>
  </w:abstractNum>
  <w:num w:numId="1" w16cid:durableId="1371996516">
    <w:abstractNumId w:val="0"/>
  </w:num>
  <w:num w:numId="2" w16cid:durableId="502478455">
    <w:abstractNumId w:val="1"/>
  </w:num>
  <w:num w:numId="3" w16cid:durableId="2003192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6F19A1"/>
    <w:rsid w:val="00394BD4"/>
    <w:rsid w:val="006F19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0F459"/>
  <w15:docId w15:val="{2545A031-1CBB-41C7-82D1-C799A411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semiHidden/>
    <w:unhideWhenUsed/>
    <w:rsid w:val="00394B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uresmb.com/" TargetMode="External"/><Relationship Id="rId3" Type="http://schemas.openxmlformats.org/officeDocument/2006/relationships/settings" Target="settings.xml"/><Relationship Id="rId7" Type="http://schemas.openxmlformats.org/officeDocument/2006/relationships/hyperlink" Target="http://curesm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uresmb.com/" TargetMode="External"/><Relationship Id="rId5" Type="http://schemas.openxmlformats.org/officeDocument/2006/relationships/hyperlink" Target="http://curesm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418</Words>
  <Characters>2928</Characters>
  <Application>Microsoft Office Word</Application>
  <DocSecurity>0</DocSecurity>
  <Lines>48</Lines>
  <Paragraphs>29</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Amigosit Digital Marketing Agency</cp:lastModifiedBy>
  <cp:revision>2</cp:revision>
  <dcterms:created xsi:type="dcterms:W3CDTF">2024-02-27T01:22:00Z</dcterms:created>
  <dcterms:modified xsi:type="dcterms:W3CDTF">2024-02-27T01:26:00Z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76d85c148ddfbf49a142d6022daada6aa4270735577c4e3b6d8138bf45c8737f</vt:lpwstr>
  </property>
</Properties>
</file>