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5442" w14:textId="77777777" w:rsidR="00E17703" w:rsidRPr="007F377B" w:rsidRDefault="00E17703" w:rsidP="00FF349F">
      <w:pPr>
        <w:numPr>
          <w:ilvl w:val="12"/>
          <w:numId w:val="0"/>
        </w:numPr>
        <w:rPr>
          <w:rFonts w:asciiTheme="minorHAnsi" w:hAnsiTheme="minorHAnsi" w:cs="Calibri"/>
          <w:color w:val="000000"/>
          <w:sz w:val="18"/>
          <w:szCs w:val="18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7F377B" w14:paraId="5FB1BE30" w14:textId="77777777">
        <w:trPr>
          <w:trHeight w:val="1217"/>
        </w:trPr>
        <w:tc>
          <w:tcPr>
            <w:tcW w:w="3685" w:type="dxa"/>
          </w:tcPr>
          <w:p w14:paraId="6CEB4B1B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</w:pPr>
            <w:r w:rsidRPr="005A00D2"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  <w:t>Wider Objective:</w:t>
            </w:r>
          </w:p>
          <w:p w14:paraId="19AD3090" w14:textId="77777777" w:rsidR="00E17703" w:rsidRPr="005A00D2" w:rsidRDefault="00E17703" w:rsidP="008A0CAE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  <w:t>What is the overall broader objective, to which the project will contribute?</w:t>
            </w:r>
          </w:p>
          <w:p w14:paraId="66706591" w14:textId="6DD24F5E" w:rsidR="00DC6AD2" w:rsidRPr="007F377B" w:rsidRDefault="00846F4D" w:rsidP="00846F4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Poboljšanje obrazovnih ishoda, razvoj veština i promocija inovacija kroz interdisciplinarnu saradnju i implementaciju projektno zasnovanog učenja (PBL), praksi, kooperativnih programa i servisnih programa.</w:t>
            </w:r>
          </w:p>
        </w:tc>
        <w:tc>
          <w:tcPr>
            <w:tcW w:w="3686" w:type="dxa"/>
          </w:tcPr>
          <w:p w14:paraId="00F546DE" w14:textId="77777777" w:rsidR="00E17703" w:rsidRPr="005A00D2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 w:val="0"/>
                <w:iCs/>
                <w:color w:val="000000"/>
                <w:sz w:val="20"/>
                <w:lang w:val="en-GB"/>
              </w:rPr>
              <w:t>Indicators of progress:</w:t>
            </w:r>
          </w:p>
          <w:p w14:paraId="04960C95" w14:textId="77777777" w:rsidR="00DC6AD2" w:rsidRPr="005A00D2" w:rsidRDefault="00E17703" w:rsidP="00DC6AD2">
            <w:pPr>
              <w:rPr>
                <w:rFonts w:asciiTheme="minorHAnsi" w:hAnsiTheme="minorHAnsi" w:cs="Calibri"/>
                <w:i/>
                <w:iCs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i/>
                <w:iCs/>
                <w:sz w:val="16"/>
                <w:szCs w:val="16"/>
                <w:lang w:val="en-GB"/>
              </w:rPr>
              <w:t>What are the key indicators related to the wider objective?</w:t>
            </w:r>
          </w:p>
          <w:p w14:paraId="42AB2458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interdisciplinarnih istraživačkih publikacija: 10 publikacija</w:t>
            </w:r>
          </w:p>
          <w:p w14:paraId="3A9E1378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Povećanje angažovanosti i motivacije učenika: 20% povećanje</w:t>
            </w:r>
          </w:p>
          <w:p w14:paraId="5D5DB1B7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Poboljšanje rezultata učenika na standardizovanim testovima: 15% poboljšanje</w:t>
            </w:r>
          </w:p>
          <w:p w14:paraId="6E77B27D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 xml:space="preserve">Broj inovativnih rešenja razvijenih tokom </w:t>
            </w: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hakatona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5 rešenja</w:t>
            </w:r>
          </w:p>
          <w:p w14:paraId="01074CAA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učesnika i mentorstava na događajima: 50 učesnika, 10 mentora</w:t>
            </w:r>
          </w:p>
          <w:p w14:paraId="1014D4ED" w14:textId="77777777" w:rsidR="00846F4D" w:rsidRPr="007F377B" w:rsidRDefault="00846F4D" w:rsidP="00846F4D">
            <w:pPr>
              <w:numPr>
                <w:ilvl w:val="0"/>
                <w:numId w:val="8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uspešno završenih praksi i kooperativnih programa: 30 praksi, 10 kooperativnih programa</w:t>
            </w:r>
          </w:p>
          <w:p w14:paraId="2E0512E4" w14:textId="77777777" w:rsidR="0010477A" w:rsidRPr="007F377B" w:rsidRDefault="00846F4D" w:rsidP="00846F4D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sprovedenih servisnih projekata u zajednici: 8 projekata</w:t>
            </w:r>
          </w:p>
          <w:p w14:paraId="3070664B" w14:textId="0A39404C" w:rsidR="00846F4D" w:rsidRPr="007F377B" w:rsidRDefault="00846F4D" w:rsidP="00846F4D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3111C51" w14:textId="77777777" w:rsidR="00E17703" w:rsidRPr="005A00D2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Theme="minorHAnsi" w:hAnsiTheme="minorHAnsi" w:cs="Calibri"/>
                <w:bCs/>
                <w:iCs/>
                <w:caps w:val="0"/>
                <w:color w:val="000000"/>
                <w:sz w:val="18"/>
                <w:szCs w:val="18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Cs/>
                <w:caps w:val="0"/>
                <w:color w:val="000000"/>
                <w:sz w:val="20"/>
                <w:lang w:val="en-GB"/>
              </w:rPr>
              <w:t>How indicators will be measured:</w:t>
            </w:r>
          </w:p>
          <w:p w14:paraId="1AB6AB8C" w14:textId="77777777" w:rsidR="009811AE" w:rsidRPr="005A00D2" w:rsidRDefault="00E17703" w:rsidP="0010477A">
            <w:pPr>
              <w:pStyle w:val="CommentText"/>
              <w:rPr>
                <w:rFonts w:asciiTheme="minorHAnsi" w:hAnsiTheme="minorHAnsi" w:cs="Calibri"/>
                <w:i/>
                <w:iCs/>
                <w:sz w:val="16"/>
                <w:szCs w:val="16"/>
                <w:lang w:val="en-GB" w:eastAsia="en-US"/>
              </w:rPr>
            </w:pPr>
            <w:r w:rsidRPr="005A00D2">
              <w:rPr>
                <w:rFonts w:asciiTheme="minorHAnsi" w:hAnsiTheme="minorHAnsi" w:cs="Calibri"/>
                <w:i/>
                <w:iCs/>
                <w:sz w:val="16"/>
                <w:szCs w:val="16"/>
                <w:lang w:val="en-GB" w:eastAsia="en-US"/>
              </w:rPr>
              <w:t>What are the sources of information on these indicators?</w:t>
            </w:r>
          </w:p>
          <w:p w14:paraId="02CFC31F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Analiza rezultata istraživanja: Kvantitativna analiza</w:t>
            </w:r>
          </w:p>
          <w:p w14:paraId="777D2CD0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Evaluacija studentskih performansi pre i posle PBL implementacije: Standardizovani testovi</w:t>
            </w:r>
          </w:p>
          <w:p w14:paraId="182D1C61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Rezultati anketa i povratnih informacija učesnika: Anketni upitnici</w:t>
            </w:r>
          </w:p>
          <w:p w14:paraId="15A6868A" w14:textId="77777777" w:rsidR="00846F4D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Izveštaji mentora iz praksi i kooperativnih programa: Kvalitativna analiza</w:t>
            </w:r>
          </w:p>
          <w:p w14:paraId="41BD7D4E" w14:textId="308412AF" w:rsidR="0010477A" w:rsidRPr="007F377B" w:rsidRDefault="00846F4D" w:rsidP="006F37F3">
            <w:pPr>
              <w:pStyle w:val="CommentText"/>
              <w:numPr>
                <w:ilvl w:val="0"/>
                <w:numId w:val="9"/>
              </w:numPr>
              <w:jc w:val="left"/>
              <w:rPr>
                <w:rFonts w:asciiTheme="minorHAnsi" w:hAnsiTheme="minorHAnsi" w:cs="Calibri"/>
                <w:sz w:val="18"/>
                <w:szCs w:val="18"/>
                <w:lang w:eastAsia="en-US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  <w:lang w:eastAsia="en-US"/>
              </w:rPr>
              <w:t>Evaluacije učesnika servisnog učenja: Povratne informacije zajednice</w:t>
            </w:r>
          </w:p>
        </w:tc>
        <w:tc>
          <w:tcPr>
            <w:tcW w:w="3686" w:type="dxa"/>
          </w:tcPr>
          <w:p w14:paraId="1D7D0190" w14:textId="77777777" w:rsidR="00E17703" w:rsidRPr="007F377B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Theme="minorHAnsi" w:hAnsiTheme="minorHAnsi" w:cs="Calibri"/>
                <w:bCs/>
                <w:i w:val="0"/>
                <w:iCs/>
                <w:color w:val="000000"/>
                <w:sz w:val="18"/>
                <w:szCs w:val="18"/>
              </w:rPr>
            </w:pPr>
          </w:p>
        </w:tc>
      </w:tr>
      <w:tr w:rsidR="00E17703" w:rsidRPr="007F377B" w14:paraId="36D8FC4E" w14:textId="77777777">
        <w:trPr>
          <w:trHeight w:val="1218"/>
        </w:trPr>
        <w:tc>
          <w:tcPr>
            <w:tcW w:w="3685" w:type="dxa"/>
          </w:tcPr>
          <w:p w14:paraId="40DA1F37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</w:pPr>
            <w:r w:rsidRPr="005A00D2">
              <w:rPr>
                <w:rFonts w:asciiTheme="minorHAnsi" w:hAnsiTheme="minorHAnsi" w:cs="Calibri"/>
                <w:b/>
                <w:color w:val="000000"/>
                <w:sz w:val="20"/>
                <w:szCs w:val="20"/>
                <w:lang w:val="en-GB"/>
              </w:rPr>
              <w:t>Specific Project Objective/s:</w:t>
            </w:r>
          </w:p>
          <w:p w14:paraId="0AEC4A6A" w14:textId="77777777" w:rsidR="00E17703" w:rsidRPr="005A00D2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</w:pPr>
            <w:r w:rsidRPr="005A00D2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  <w:lang w:val="en-GB"/>
              </w:rPr>
              <w:t>What are the specific objectives, which the project shall achieve?</w:t>
            </w:r>
          </w:p>
          <w:p w14:paraId="057BC5CF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Povećanje angažovanosti i motivacije učenika kroz PBL.</w:t>
            </w:r>
          </w:p>
          <w:p w14:paraId="78604F71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Razvijanje kritičkog mišljenja i veština rešavanja problema kroz PBL.</w:t>
            </w:r>
          </w:p>
          <w:p w14:paraId="21D49990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Promocija interdisciplinarne saradnje i inovacija kroz hakatone.</w:t>
            </w:r>
          </w:p>
          <w:p w14:paraId="7413F85C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Poboljšanje akademskih performansi na standardizovanim testovima kroz PBL.</w:t>
            </w:r>
          </w:p>
          <w:p w14:paraId="3D2BD377" w14:textId="77777777" w:rsidR="00846F4D" w:rsidRPr="007F377B" w:rsidRDefault="00846F4D" w:rsidP="00846F4D">
            <w:pPr>
              <w:numPr>
                <w:ilvl w:val="0"/>
                <w:numId w:val="7"/>
              </w:numPr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Unapređenje profesionalnih veština učenika kroz prakse i kooperativne programe.</w:t>
            </w:r>
          </w:p>
          <w:p w14:paraId="6B7CB468" w14:textId="555C4163" w:rsidR="00514AE0" w:rsidRPr="007F377B" w:rsidRDefault="00846F4D" w:rsidP="00846F4D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Razvijanje društveno odgovornih učenika kroz servisne programe.</w:t>
            </w:r>
          </w:p>
        </w:tc>
        <w:tc>
          <w:tcPr>
            <w:tcW w:w="3686" w:type="dxa"/>
          </w:tcPr>
          <w:p w14:paraId="2A21E4C8" w14:textId="77777777" w:rsidR="00E17703" w:rsidRPr="007F377B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progress</w:t>
            </w:r>
            <w:proofErr w:type="spellEnd"/>
            <w:r w:rsidRPr="007F377B">
              <w:rPr>
                <w:rFonts w:asciiTheme="minorHAnsi" w:hAnsiTheme="minorHAnsi" w:cs="Calibri"/>
                <w:bCs/>
                <w:iCs/>
                <w:color w:val="000000"/>
                <w:sz w:val="20"/>
              </w:rPr>
              <w:t>:</w:t>
            </w:r>
          </w:p>
          <w:p w14:paraId="71528ED1" w14:textId="77777777" w:rsidR="00E17703" w:rsidRPr="007F377B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quantitative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qualitative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showing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whether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extent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project’s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specific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objectives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achieved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57DA6345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angažovanosti učenika u projektima: 20% povećanje godišnje.</w:t>
            </w:r>
          </w:p>
          <w:p w14:paraId="701F256E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Povećanje interesa i motivacije za nastavu: 15% povećanje godišnje.</w:t>
            </w:r>
          </w:p>
          <w:p w14:paraId="75EBE538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Poboljšanje veština kritičkog mišljenja i saradnje među učenicima: 10% poboljšanje godišnje.</w:t>
            </w:r>
          </w:p>
          <w:p w14:paraId="75C583B6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razvijenih inovativnih rešenja: 5 rešenja godišnje.</w:t>
            </w:r>
          </w:p>
          <w:p w14:paraId="355ACC6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saradnje među studentima različitih disciplina: 10% povećanje godišnje.</w:t>
            </w:r>
          </w:p>
          <w:p w14:paraId="775FC1C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lastRenderedPageBreak/>
              <w:t>Poboljšani rezultati na testovima: 15% poboljšanje godišnje.</w:t>
            </w:r>
          </w:p>
          <w:p w14:paraId="2F9940D7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uspešno završenih praksi i kooperativnih programa: 30 praksi godišnje.</w:t>
            </w:r>
          </w:p>
          <w:p w14:paraId="25593A45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Stepen zadovoljstva poslodavaca sa radom studenata: 80% zadovoljnih poslodavaca godišnje.</w:t>
            </w:r>
          </w:p>
          <w:p w14:paraId="6B1D2B73" w14:textId="77777777" w:rsidR="00C57FB4" w:rsidRPr="007F377B" w:rsidRDefault="00C57FB4" w:rsidP="00C57FB4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Broj sprovedenih servisnih projekata: 10 projekata godišnje.</w:t>
            </w:r>
          </w:p>
          <w:p w14:paraId="073DD0AE" w14:textId="5918D86E" w:rsidR="004E030E" w:rsidRPr="007F377B" w:rsidRDefault="00C57FB4" w:rsidP="00C57FB4">
            <w:pPr>
              <w:numPr>
                <w:ilvl w:val="0"/>
                <w:numId w:val="11"/>
              </w:numPr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Povratne informacije zajednice o uticaju servisnih projekata: 80% pozitivnih povratnih informacija godišnje.</w:t>
            </w:r>
          </w:p>
        </w:tc>
        <w:tc>
          <w:tcPr>
            <w:tcW w:w="3685" w:type="dxa"/>
          </w:tcPr>
          <w:p w14:paraId="697B5449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will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measured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3B5D73C0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sources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exist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can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collected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methods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get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this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?</w:t>
            </w:r>
          </w:p>
          <w:p w14:paraId="0FBA228B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Kvantitativne i kvalitativne analize rezultata istraživanja.</w:t>
            </w:r>
          </w:p>
          <w:p w14:paraId="72CBE32B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Evaluacija pre i posle implementacije PBL.</w:t>
            </w:r>
          </w:p>
          <w:p w14:paraId="12D6DD10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Anketni upitnici i povratne informacije.</w:t>
            </w:r>
          </w:p>
          <w:p w14:paraId="57EB6CC7" w14:textId="77777777" w:rsidR="00C57FB4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Izveštaji mentora i povratne informacije poslodavaca.</w:t>
            </w:r>
          </w:p>
          <w:p w14:paraId="0B2E5090" w14:textId="7DB8F072" w:rsidR="00F44482" w:rsidRPr="007F377B" w:rsidRDefault="00C57FB4" w:rsidP="00C57FB4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Povratne informacije zajednice.</w:t>
            </w:r>
          </w:p>
        </w:tc>
        <w:tc>
          <w:tcPr>
            <w:tcW w:w="3686" w:type="dxa"/>
          </w:tcPr>
          <w:p w14:paraId="0AD5668D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1D12E0C6" w14:textId="77777777" w:rsidR="00EF550C" w:rsidRPr="007F377B" w:rsidRDefault="00E17703" w:rsidP="00EF550C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factors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not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under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direct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control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of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which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necessary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achieve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objectives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have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considered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?</w:t>
            </w:r>
            <w:r w:rsidRPr="007F377B" w:rsidDel="00BF55A5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</w:p>
          <w:p w14:paraId="2FC7EBC6" w14:textId="77777777" w:rsidR="00234A90" w:rsidRPr="007F377B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</w:t>
            </w:r>
          </w:p>
          <w:p w14:paraId="23ACEAC4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Finansijska stabilnost: Dostupnost finansijske podrške i resursa tokom trajanja projekta.</w:t>
            </w:r>
          </w:p>
          <w:p w14:paraId="3BB720E5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Podrška nastavnog osoblja: Kontinuirana podrška i angažovanost nastavnog osoblja.</w:t>
            </w:r>
          </w:p>
          <w:p w14:paraId="7B75B3CD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Pristupačnost mentora i stručnjaka: Dostupnost i angažovanost mentora i stručnjaka iz industrije i zajednice.</w:t>
            </w:r>
          </w:p>
          <w:p w14:paraId="6D7FABAB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lastRenderedPageBreak/>
              <w:t>Tehnička infrastruktura: Održavanje adekvatne tehničke infrastrukture i logističke podrške.</w:t>
            </w:r>
          </w:p>
          <w:p w14:paraId="55E9A40C" w14:textId="77777777" w:rsidR="00234A90" w:rsidRPr="007F377B" w:rsidRDefault="00234A90" w:rsidP="00234A90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sz w:val="18"/>
                <w:szCs w:val="18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</w:t>
            </w:r>
          </w:p>
          <w:p w14:paraId="7F4753F8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Finansijski problemi: Promene u finansijskoj podršci ili nedostatak sredstava mogu ometati implementaciju.</w:t>
            </w:r>
          </w:p>
          <w:p w14:paraId="6E6D5BB5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Nedostatak infrastrukture: Neadekvatna tehnička infrastruktura može ograničiti sprovođenje planiranih aktivnosti.</w:t>
            </w:r>
          </w:p>
          <w:p w14:paraId="74643074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Angažovanost učesnika: Nedovoljna angažovanost učenika, nastavnika ili mentora može smanjiti efikasnost projekta.</w:t>
            </w:r>
          </w:p>
          <w:p w14:paraId="42A3BC2A" w14:textId="77777777" w:rsidR="00234A90" w:rsidRPr="007F377B" w:rsidRDefault="00234A90" w:rsidP="00234A9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Tehnički problemi: Neočekivani tehnički problemi mogu usporiti ili onemogućiti aktivnosti.</w:t>
            </w:r>
          </w:p>
          <w:p w14:paraId="16257A7E" w14:textId="70A54330" w:rsidR="00E17703" w:rsidRPr="007F377B" w:rsidRDefault="00E17703" w:rsidP="00FB145D">
            <w:pPr>
              <w:pStyle w:val="BulletBox"/>
              <w:numPr>
                <w:ilvl w:val="0"/>
                <w:numId w:val="0"/>
              </w:numPr>
              <w:ind w:left="720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17703" w:rsidRPr="007F377B" w14:paraId="7AC1F866" w14:textId="77777777">
        <w:trPr>
          <w:trHeight w:val="2814"/>
        </w:trPr>
        <w:tc>
          <w:tcPr>
            <w:tcW w:w="3685" w:type="dxa"/>
          </w:tcPr>
          <w:p w14:paraId="3D540F95" w14:textId="77777777" w:rsidR="00E17703" w:rsidRPr="007F377B" w:rsidRDefault="00E17703" w:rsidP="00E17703">
            <w:pPr>
              <w:numPr>
                <w:ilvl w:val="12"/>
                <w:numId w:val="0"/>
              </w:num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lastRenderedPageBreak/>
              <w:t>Outputs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tangible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) and 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intangible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):</w:t>
            </w:r>
          </w:p>
          <w:p w14:paraId="5CE69966" w14:textId="77777777" w:rsidR="00E17703" w:rsidRPr="007F377B" w:rsidRDefault="00E17703" w:rsidP="00D70F03">
            <w:pPr>
              <w:widowControl w:val="0"/>
              <w:tabs>
                <w:tab w:val="left" w:pos="228"/>
              </w:tabs>
              <w:rPr>
                <w:rFonts w:asciiTheme="minorHAnsi" w:hAnsiTheme="minorHAnsi" w:cs="Calibri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Please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provide the list of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concrete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6203EF"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DELIVERABLES -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outputs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6203EF"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="006203EF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</w:rPr>
              <w:t>)</w:t>
            </w:r>
            <w:r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,</w:t>
            </w:r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leading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specific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objective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/s.:</w:t>
            </w:r>
          </w:p>
          <w:p w14:paraId="391343C1" w14:textId="2CF216A9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ljen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PBL projekat</w:t>
            </w:r>
          </w:p>
          <w:p w14:paraId="331B0B6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F91EC93" w14:textId="3F561BB9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tema i izazov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PBL projekte.</w:t>
            </w:r>
          </w:p>
          <w:p w14:paraId="0C2DA20A" w14:textId="5F77DF1C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</w:t>
            </w:r>
            <w:r w:rsidR="00B61366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angažovan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mentor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stručnj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aci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.</w:t>
            </w:r>
          </w:p>
          <w:p w14:paraId="4DAE1CEB" w14:textId="74C7B3D5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ljeni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logistički detalj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događaje.</w:t>
            </w:r>
          </w:p>
          <w:p w14:paraId="2B98418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B17CAC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PBL-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a.</w:t>
            </w:r>
          </w:p>
          <w:p w14:paraId="2ACB77E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mentora i stručnjaka.</w:t>
            </w:r>
          </w:p>
          <w:p w14:paraId="5AC4C96A" w14:textId="2416DAA0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2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ja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selekcija učesnika za PBL projekte</w:t>
            </w:r>
          </w:p>
          <w:p w14:paraId="4A6FCD2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3E1F7092" w14:textId="767360F0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edena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marketing kampanja za promociju PBL projekata.</w:t>
            </w:r>
          </w:p>
          <w:p w14:paraId="572E6B7A" w14:textId="68A9481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selek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tovani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učesni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ci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.</w:t>
            </w:r>
          </w:p>
          <w:p w14:paraId="2ADE0A61" w14:textId="5B98E2AF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ovane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informacion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sesij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i radionic</w:t>
            </w:r>
            <w:r w:rsidR="000771B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 za pripremu učesnika.</w:t>
            </w:r>
          </w:p>
          <w:p w14:paraId="2340E3A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B6A9B9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PBL projektima.</w:t>
            </w:r>
          </w:p>
          <w:p w14:paraId="13E0D25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učešće.</w:t>
            </w:r>
          </w:p>
          <w:p w14:paraId="32F23A8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3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PBL projekata</w:t>
            </w:r>
          </w:p>
          <w:p w14:paraId="11BD4975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5B7C84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PBL projekata.</w:t>
            </w:r>
          </w:p>
          <w:p w14:paraId="168A025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timovima tokom događaja.</w:t>
            </w:r>
          </w:p>
          <w:p w14:paraId="4787805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predloženih rešenja.</w:t>
            </w:r>
          </w:p>
          <w:p w14:paraId="34537C2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1CF736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projekti i inovativna rešenja.</w:t>
            </w:r>
          </w:p>
          <w:p w14:paraId="0E8B4B4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veštine učesnika u timskom radu, rešavanju problema, profesionalnim i društveno odgovornim aktivnostima.</w:t>
            </w:r>
          </w:p>
          <w:p w14:paraId="10D49FB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4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PBL projekata</w:t>
            </w:r>
          </w:p>
          <w:p w14:paraId="4801138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C5774F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PBL projekata.</w:t>
            </w:r>
          </w:p>
          <w:p w14:paraId="722F0DC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12309AC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DAEBE80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3CF182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Identifikovana najuspešnija rešenja.</w:t>
            </w:r>
          </w:p>
          <w:p w14:paraId="1ADE807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Širenje znanja i rezultata na širu zajednicu.</w:t>
            </w:r>
          </w:p>
          <w:p w14:paraId="64F3F99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5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praksi</w:t>
            </w:r>
          </w:p>
          <w:p w14:paraId="7EBB59A4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746ADA7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praksama.</w:t>
            </w:r>
          </w:p>
          <w:p w14:paraId="424C0B0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A4FF8DC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prakse.</w:t>
            </w:r>
          </w:p>
          <w:p w14:paraId="690B10A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88A8C8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praksi.</w:t>
            </w:r>
          </w:p>
          <w:p w14:paraId="263E7AF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prakse.</w:t>
            </w:r>
          </w:p>
          <w:p w14:paraId="4600916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6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prakse</w:t>
            </w:r>
          </w:p>
          <w:p w14:paraId="1ED7DCD0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A3EE5B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praksi.</w:t>
            </w:r>
          </w:p>
          <w:p w14:paraId="39FF624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15699AC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0F648AF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F34973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praksama.</w:t>
            </w:r>
          </w:p>
          <w:p w14:paraId="3F9A4FF5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 u praksama.</w:t>
            </w:r>
          </w:p>
          <w:p w14:paraId="1DFA333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7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praksi</w:t>
            </w:r>
          </w:p>
          <w:p w14:paraId="228B63D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88275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praksi.</w:t>
            </w:r>
          </w:p>
          <w:p w14:paraId="1FEBC1C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praksi.</w:t>
            </w:r>
          </w:p>
          <w:p w14:paraId="3276D62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praksi.</w:t>
            </w:r>
          </w:p>
          <w:p w14:paraId="14015EB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39C860E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Realizovane prakse sa praktičnim rešenjima.</w:t>
            </w:r>
          </w:p>
          <w:p w14:paraId="76CF713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0F366827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lastRenderedPageBreak/>
              <w:t>Radni paket 8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praksi</w:t>
            </w:r>
          </w:p>
          <w:p w14:paraId="354663A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86AD6E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praksi.</w:t>
            </w:r>
          </w:p>
          <w:p w14:paraId="65C48F0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40AFD13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33FA045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9867E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Identifikovane najuspešnije prakse.</w:t>
            </w:r>
          </w:p>
          <w:p w14:paraId="57B8E46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6B1F827C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9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kooperativnih programa</w:t>
            </w:r>
          </w:p>
          <w:p w14:paraId="32DDAFE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7DB3120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kooperativnim programima.</w:t>
            </w:r>
          </w:p>
          <w:p w14:paraId="59C87FB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BD7BCF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kooperativne programe.</w:t>
            </w:r>
          </w:p>
          <w:p w14:paraId="1E79E9EA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460F6BE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spremnost i organizovanost za sprovođenje kooperativnih programa.</w:t>
            </w:r>
          </w:p>
          <w:p w14:paraId="58AA879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kooperativne programe.</w:t>
            </w:r>
          </w:p>
          <w:p w14:paraId="212027B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10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kooperativne programe</w:t>
            </w:r>
          </w:p>
          <w:p w14:paraId="69A1318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7F53CB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kooperativnih programa.</w:t>
            </w:r>
          </w:p>
          <w:p w14:paraId="462809C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90D1A4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56B6B61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3A7574F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kooperativnim programima.</w:t>
            </w:r>
          </w:p>
          <w:p w14:paraId="4714057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Bolje pripremljeni učesnici za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aktivno učešće u kooperativnim programima.</w:t>
            </w:r>
          </w:p>
          <w:p w14:paraId="662162E4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11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kooperativnih programa</w:t>
            </w:r>
          </w:p>
          <w:p w14:paraId="29DBB06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6C0C192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kooperativnih programa.</w:t>
            </w:r>
          </w:p>
          <w:p w14:paraId="272D683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kooperativnih programa.</w:t>
            </w:r>
          </w:p>
          <w:p w14:paraId="14042D26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kooperativnih programa.</w:t>
            </w:r>
          </w:p>
          <w:p w14:paraId="7F44C77E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CA631ED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kooperativni programi sa praktičnim rešenjima.</w:t>
            </w:r>
          </w:p>
          <w:p w14:paraId="5ED5FC0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veštine studenata.</w:t>
            </w:r>
          </w:p>
          <w:p w14:paraId="52329BD1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12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kooperativnih programa</w:t>
            </w:r>
          </w:p>
          <w:p w14:paraId="7A9083C1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151B735C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kooperativnih programa.</w:t>
            </w:r>
          </w:p>
          <w:p w14:paraId="592547CB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06401981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41F2CC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1B0589A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Identifikovani najuspešniji kooperativni programi.</w:t>
            </w:r>
          </w:p>
          <w:p w14:paraId="3E7E06A9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03D25013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13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Priprema servisnih programa</w:t>
            </w:r>
          </w:p>
          <w:p w14:paraId="365691B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3221D947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servisnim programima.</w:t>
            </w:r>
          </w:p>
          <w:p w14:paraId="5799358F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2BA894B4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servisne programe.</w:t>
            </w:r>
          </w:p>
          <w:p w14:paraId="7D5D8A7D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0896DA1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Povećana spremnost i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organizovanost za sprovođenje servisnih programa.</w:t>
            </w:r>
          </w:p>
          <w:p w14:paraId="1E3987CA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Uspostavljena mreža partnera i mentora za servisne programe.</w:t>
            </w:r>
          </w:p>
          <w:p w14:paraId="201B0549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14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Promocija i selekcija učesnika za servisne programe</w:t>
            </w:r>
          </w:p>
          <w:p w14:paraId="47A67E23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941DC88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servisnih programa.</w:t>
            </w:r>
          </w:p>
          <w:p w14:paraId="4EB622C0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3C5FF552" w14:textId="77777777" w:rsidR="00145809" w:rsidRPr="007F377B" w:rsidRDefault="00145809" w:rsidP="00851346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48530EE6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356F6BAA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Povećana svest i interesovanje za učešće u servisnim programima.</w:t>
            </w:r>
          </w:p>
          <w:p w14:paraId="0E8237FF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Bolje pripremljeni učesnici za aktivno učešće u servisnim programima.</w:t>
            </w:r>
          </w:p>
          <w:p w14:paraId="34AADFF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15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Implementacija servisnih programa</w:t>
            </w:r>
          </w:p>
          <w:p w14:paraId="1A5E042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23D14F31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servisnih programa.</w:t>
            </w:r>
          </w:p>
          <w:p w14:paraId="2FD7BF2D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servisnih programa.</w:t>
            </w:r>
          </w:p>
          <w:p w14:paraId="02CDF9EB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servisnih programa.</w:t>
            </w:r>
          </w:p>
          <w:p w14:paraId="32F9544F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22242D6D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Realizovani servisni programi sa pozitivnim uticajem na zajednicu.</w:t>
            </w:r>
          </w:p>
          <w:p w14:paraId="60EF6718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Poboljšane profesionalne i društveno odgovorne veštine studenata.</w:t>
            </w:r>
          </w:p>
          <w:p w14:paraId="5B52DBE8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color w:val="000000"/>
                <w:sz w:val="18"/>
                <w:szCs w:val="18"/>
              </w:rPr>
              <w:t>Radni paket 16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: Analiza i diseminacija rezultata servisnih programa</w:t>
            </w:r>
          </w:p>
          <w:p w14:paraId="14CB4B78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Izlazi:</w:t>
            </w:r>
          </w:p>
          <w:p w14:paraId="561AFB8E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servisnih programa.</w:t>
            </w:r>
          </w:p>
          <w:p w14:paraId="643162EE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55AD3753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Diseminacija rezultata putem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konferencija, publikacija i online platformi.</w:t>
            </w:r>
          </w:p>
          <w:p w14:paraId="71305672" w14:textId="77777777" w:rsidR="00145809" w:rsidRPr="007F377B" w:rsidRDefault="00145809" w:rsidP="0014580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Ishodi:</w:t>
            </w:r>
          </w:p>
          <w:p w14:paraId="667157CF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Identifikovani najuspešniji servisni programi.</w:t>
            </w:r>
          </w:p>
          <w:p w14:paraId="25429EE8" w14:textId="77777777" w:rsidR="00145809" w:rsidRPr="007F377B" w:rsidRDefault="00145809" w:rsidP="000420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Širenje znanja i rezultata na širu zajednicu.</w:t>
            </w:r>
          </w:p>
          <w:p w14:paraId="1597C8D5" w14:textId="13BA0C3D" w:rsidR="00F853B5" w:rsidRPr="007F377B" w:rsidRDefault="00F853B5" w:rsidP="00E5687C">
            <w:pPr>
              <w:widowControl w:val="0"/>
              <w:tabs>
                <w:tab w:val="left" w:pos="228"/>
              </w:tabs>
              <w:ind w:left="72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B0040A2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progress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3BC7BF7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measure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whether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extent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achieves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envisaged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effects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73F2F3AB" w14:textId="77777777" w:rsidR="00F47EED" w:rsidRPr="007F377B" w:rsidRDefault="00F47EED" w:rsidP="00F47EED">
            <w:pPr>
              <w:pStyle w:val="BulletBox"/>
              <w:ind w:left="22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Povećanje angažovanosti i motivacije učenika kroz PBL:</w:t>
            </w:r>
          </w:p>
          <w:p w14:paraId="4A7ADCD5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angažovanosti učenika u projektima: 20% povećanje angažovanosti godišnje</w:t>
            </w:r>
          </w:p>
          <w:p w14:paraId="6676BF01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Povećanje interesa i motivacije za nastavu: 15% povećanje interesa godišnje</w:t>
            </w:r>
          </w:p>
          <w:p w14:paraId="748A6B37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kritičkog mišljenja i veština rešavanja problema kroz PBL:</w:t>
            </w:r>
          </w:p>
          <w:p w14:paraId="7D4025B9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Poboljšanje veština kritičkog mišljenja i saradnje među učenicima: 10% poboljšanje veština godišnje</w:t>
            </w:r>
          </w:p>
          <w:p w14:paraId="20F41714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lastRenderedPageBreak/>
              <w:t>Promocija interdisciplinarne saradnje i inovacija kroz hakatone:</w:t>
            </w:r>
          </w:p>
          <w:p w14:paraId="4F26314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razvijenih inovativnih rešenja: 5 rešenja godišnje</w:t>
            </w:r>
          </w:p>
          <w:p w14:paraId="073C8666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saradnje među studentima različitih disciplina: 10% povećanje saradnje godišnje</w:t>
            </w:r>
          </w:p>
          <w:p w14:paraId="37FCAD3B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Poboljšanje akademskih performansi na standardizovanim testovima kroz PBL:</w:t>
            </w:r>
          </w:p>
          <w:p w14:paraId="738E706B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Poboljšani rezultati na testovima: 15% poboljšanje rezultata godišnje</w:t>
            </w:r>
          </w:p>
          <w:p w14:paraId="3A7BBDB8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Unapređenje profesionalnih veština učenika kroz prakse i kooperativne programe:</w:t>
            </w:r>
          </w:p>
          <w:p w14:paraId="382A17A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uspešno završenih praksi i kooperativnih programa: 30 praksi godišnje</w:t>
            </w:r>
          </w:p>
          <w:p w14:paraId="41D968E2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Stepen zadovoljstva poslodavaca sa radom studenata: 80% zadovoljnih poslodavaca godišnje</w:t>
            </w:r>
          </w:p>
          <w:p w14:paraId="4C99876F" w14:textId="77777777" w:rsidR="00F47EED" w:rsidRPr="007F377B" w:rsidRDefault="00F47EED" w:rsidP="00B66CC5">
            <w:pPr>
              <w:pStyle w:val="BulletBox"/>
              <w:numPr>
                <w:ilvl w:val="0"/>
                <w:numId w:val="0"/>
              </w:numPr>
              <w:ind w:left="376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Razvijanje društveno odgovornih učenika kroz servisne programe:</w:t>
            </w:r>
          </w:p>
          <w:p w14:paraId="38ED854A" w14:textId="77777777" w:rsidR="00F47EED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Broj sprovedenih servisnih projekata: 10 projekata godišnje</w:t>
            </w:r>
          </w:p>
          <w:p w14:paraId="00EC88FA" w14:textId="72683EF7" w:rsidR="00F62FBA" w:rsidRPr="007F377B" w:rsidRDefault="00F47EED" w:rsidP="00816E36">
            <w:pPr>
              <w:pStyle w:val="BulletBox"/>
              <w:numPr>
                <w:ilvl w:val="0"/>
                <w:numId w:val="29"/>
              </w:numPr>
              <w:ind w:left="736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Povratne informacije zajednice o uticaju servisnih projekata: 80% pozitivnih povratnih informacija godišnje</w:t>
            </w:r>
          </w:p>
        </w:tc>
        <w:tc>
          <w:tcPr>
            <w:tcW w:w="3685" w:type="dxa"/>
          </w:tcPr>
          <w:p w14:paraId="0D4F94EC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How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will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measured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4110DAC2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sources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information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on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indicators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2226D58F" w14:textId="05C70A53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angažovanosti učenika u projektima:</w:t>
            </w:r>
          </w:p>
          <w:p w14:paraId="46DB9DB3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učenike i nastavnike, analiza učeničkih projekata (100 učenika godišnje)</w:t>
            </w:r>
          </w:p>
          <w:p w14:paraId="723DB231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Povećanje interesa i motivacije za nastavu:</w:t>
            </w:r>
          </w:p>
          <w:p w14:paraId="43E9FDA8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Rezultati anketa i feedback-a učesnika, evaluacije nastavnika (100 učenika godišnje)</w:t>
            </w:r>
          </w:p>
          <w:p w14:paraId="02B4F99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Poboljšanje veština kritičkog mišljenja i saradnje među učenicima:</w:t>
            </w:r>
          </w:p>
          <w:p w14:paraId="73D8BEDE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Evaluacija rubrika za projekte, povratne informacije mentora (100 učenika godišnje)</w:t>
            </w:r>
          </w:p>
          <w:p w14:paraId="5D1F4BC0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razvijenih inovativnih rešenja</w:t>
            </w: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:</w:t>
            </w:r>
          </w:p>
          <w:p w14:paraId="14A9F452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lastRenderedPageBreak/>
              <w:t xml:space="preserve">Izveštaji sa </w:t>
            </w:r>
            <w:proofErr w:type="spellStart"/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hakatona</w:t>
            </w:r>
            <w:proofErr w:type="spellEnd"/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, dokumentacija projekata, evaluacija i ocenjivanje predloženih rešenja</w:t>
            </w:r>
          </w:p>
          <w:p w14:paraId="570EB306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saradnje među studentima različitih disciplina:</w:t>
            </w:r>
          </w:p>
          <w:p w14:paraId="69F6C0B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učesnike, analize zajedničkih radova, kvalitativni intervjui (100 studenata godišnje)</w:t>
            </w:r>
          </w:p>
          <w:p w14:paraId="3A4C675A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Poboljšani rezultati na testovima:</w:t>
            </w:r>
          </w:p>
          <w:p w14:paraId="2025C1FC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Standardizovani testovi pre i posle implementacije PBL-a, statistička analiza rezultata testiranja (100 učenika godišnje)</w:t>
            </w:r>
          </w:p>
          <w:p w14:paraId="638FB5AA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uspešno završenih praksi i kooperativnih programa:</w:t>
            </w:r>
          </w:p>
          <w:p w14:paraId="1B3921C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Izveštaji mentora, evaluacije poslodavaca, kvantitativna analiza broja učesnika (30 praksi godišnje)</w:t>
            </w:r>
          </w:p>
          <w:p w14:paraId="79D1EC7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Stepen zadovoljstva poslodavaca sa radom studenata:</w:t>
            </w:r>
          </w:p>
          <w:p w14:paraId="056A7AC3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Upitnici za poslodavce, evaluacije učesnika praksi, analiza povratnih informacija poslodavaca</w:t>
            </w:r>
          </w:p>
          <w:p w14:paraId="60F44E59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Broj sprovedenih servisnih projekata:</w:t>
            </w:r>
          </w:p>
          <w:p w14:paraId="176E9F6D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Dokumentacija projekata, evaluacije učesnika, kvantitativna analiza broja projekata, kvalitativni intervjui sa učesnicima</w:t>
            </w:r>
          </w:p>
          <w:p w14:paraId="09E6CC14" w14:textId="77777777" w:rsidR="00F47EED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  <w:lang w:eastAsia="en-GB"/>
              </w:rPr>
              <w:t>Povratne informacije zajednice o uticaju servisnih projekata:</w:t>
            </w:r>
          </w:p>
          <w:p w14:paraId="3EA50C39" w14:textId="42A54B61" w:rsidR="00A60D80" w:rsidRPr="007F377B" w:rsidRDefault="00F47EED" w:rsidP="00F47EED">
            <w:pPr>
              <w:pStyle w:val="BulletBox"/>
              <w:ind w:left="225"/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</w:pPr>
            <w:r w:rsidRPr="007F377B">
              <w:rPr>
                <w:rFonts w:asciiTheme="minorHAnsi" w:hAnsiTheme="minorHAnsi" w:cs="Calibri"/>
                <w:color w:val="000000"/>
                <w:sz w:val="18"/>
                <w:szCs w:val="18"/>
                <w:lang w:eastAsia="en-GB"/>
              </w:rPr>
              <w:t>Anketa među članovima zajednice, izveštaji sa servisnih projekata, kvalitativna analiza povratnih informacija, evaluacija uticaja projekata na zajednicu</w:t>
            </w:r>
          </w:p>
        </w:tc>
        <w:tc>
          <w:tcPr>
            <w:tcW w:w="3686" w:type="dxa"/>
          </w:tcPr>
          <w:p w14:paraId="5CD2AA4A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lastRenderedPageBreak/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7001F04" w14:textId="77777777" w:rsidR="00E17703" w:rsidRPr="007F377B" w:rsidRDefault="00E17703" w:rsidP="00DA10E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external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factors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must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be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realised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obtain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expected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outcomes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 on </w:t>
            </w:r>
            <w:proofErr w:type="spellStart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>schedule</w:t>
            </w:r>
            <w:proofErr w:type="spellEnd"/>
            <w:r w:rsidRPr="007F377B">
              <w:rPr>
                <w:rFonts w:asciiTheme="minorHAnsi" w:hAnsiTheme="minorHAnsi" w:cs="Calibri"/>
                <w:i/>
                <w:color w:val="000000"/>
                <w:sz w:val="16"/>
                <w:szCs w:val="16"/>
              </w:rPr>
              <w:t xml:space="preserve">? </w:t>
            </w:r>
          </w:p>
          <w:p w14:paraId="7A1B0B8E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1-4 (PBL projekti):</w:t>
            </w:r>
          </w:p>
          <w:p w14:paraId="7A9735B4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Pristupačnost i motivacija mentora, podrška institucija.</w:t>
            </w:r>
          </w:p>
          <w:p w14:paraId="15F4229E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Nedostatak angažmana učenika, tehnički problemi.</w:t>
            </w:r>
          </w:p>
          <w:p w14:paraId="51E0D459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5-8 (Prakse):</w:t>
            </w:r>
          </w:p>
          <w:p w14:paraId="393F4914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Spremnost partnera za saradnju, kvalitet mentorstva.</w:t>
            </w:r>
          </w:p>
          <w:p w14:paraId="4BE34993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Nedostatak resursa, varijabilnost u kvalitetu mentorstva.</w:t>
            </w:r>
          </w:p>
          <w:p w14:paraId="698A66EA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lastRenderedPageBreak/>
              <w:t>Radni paket 9-12 (Kooperativni programi):</w:t>
            </w:r>
          </w:p>
          <w:p w14:paraId="7D9B0907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Podrška industrije, kvalitetna koordinacija.</w:t>
            </w:r>
          </w:p>
          <w:p w14:paraId="3FB65292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Promene u poslovnom okruženju, nesigurnost u logistici.</w:t>
            </w:r>
          </w:p>
          <w:p w14:paraId="508A7CC9" w14:textId="77777777" w:rsidR="00D70F03" w:rsidRPr="007F377B" w:rsidRDefault="00D70F03" w:rsidP="00D70F03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Radni paket 13-16 (Servisni programi):</w:t>
            </w:r>
          </w:p>
          <w:p w14:paraId="6BE20B60" w14:textId="77777777" w:rsidR="00D70F03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Pretpostavke: Podrška lokalne zajednice, angažovanost učenika.</w:t>
            </w:r>
          </w:p>
          <w:p w14:paraId="3C93521D" w14:textId="12AB67A8" w:rsidR="00DA10E0" w:rsidRPr="007F377B" w:rsidRDefault="00D70F03" w:rsidP="00D70F03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sz w:val="18"/>
                <w:szCs w:val="18"/>
              </w:rPr>
              <w:t>Rizici: Promene u zajedničkim potrebama, ograničeni resursi.</w:t>
            </w:r>
          </w:p>
        </w:tc>
      </w:tr>
      <w:tr w:rsidR="00E17703" w:rsidRPr="007F377B" w14:paraId="128FD966" w14:textId="77777777">
        <w:trPr>
          <w:trHeight w:val="2815"/>
        </w:trPr>
        <w:tc>
          <w:tcPr>
            <w:tcW w:w="3685" w:type="dxa"/>
          </w:tcPr>
          <w:p w14:paraId="7E636766" w14:textId="77777777" w:rsidR="00E17703" w:rsidRPr="007F377B" w:rsidRDefault="00E17703" w:rsidP="00E17703">
            <w:pPr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lastRenderedPageBreak/>
              <w:t>Activities</w:t>
            </w:r>
            <w:proofErr w:type="spellEnd"/>
            <w:r w:rsidRPr="007F377B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:</w:t>
            </w:r>
          </w:p>
          <w:p w14:paraId="4682A81E" w14:textId="7FB3F0D6" w:rsidR="00E17703" w:rsidRPr="007F377B" w:rsidRDefault="00E17703" w:rsidP="00E17703">
            <w:pPr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are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key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carried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out</w:t>
            </w:r>
            <w:proofErr w:type="spellEnd"/>
            <w:r w:rsidR="00AA4A4B"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A4A4B" w:rsidRPr="007F377B">
              <w:rPr>
                <w:rFonts w:asciiTheme="minorHAnsi" w:hAnsiTheme="minorHAnsi" w:cs="Calibri"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grouped</w:t>
            </w:r>
            <w:proofErr w:type="spellEnd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 xml:space="preserve"> in </w:t>
            </w:r>
            <w:proofErr w:type="spellStart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 w:rsidR="00AA4A4B" w:rsidRPr="007F377B">
              <w:rPr>
                <w:rFonts w:asciiTheme="minorHAnsi" w:hAnsiTheme="minorHAnsi" w:cs="Calibri"/>
                <w:b/>
                <w:bCs/>
                <w:i/>
                <w:iCs/>
                <w:sz w:val="16"/>
                <w:szCs w:val="16"/>
              </w:rPr>
              <w:t>)</w:t>
            </w:r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and in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sequence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in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order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produce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expected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results</w:t>
            </w:r>
            <w:proofErr w:type="spellEnd"/>
            <w:r w:rsidRPr="007F377B">
              <w:rPr>
                <w:rFonts w:asciiTheme="minorHAnsi" w:hAnsiTheme="minorHAnsi" w:cs="Calibri"/>
                <w:bCs/>
                <w:i/>
                <w:iCs/>
                <w:color w:val="000000"/>
                <w:sz w:val="16"/>
                <w:szCs w:val="16"/>
              </w:rPr>
              <w:t>?</w:t>
            </w:r>
          </w:p>
          <w:p w14:paraId="07EB0494" w14:textId="32F6E54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1: Priprema PBL projekata</w:t>
            </w:r>
          </w:p>
          <w:p w14:paraId="5E1B6799" w14:textId="0F35D1BF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tema i izazova.</w:t>
            </w:r>
          </w:p>
          <w:p w14:paraId="5C623D82" w14:textId="25C56271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mentora.</w:t>
            </w:r>
          </w:p>
          <w:p w14:paraId="3FDE97C4" w14:textId="2341113F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detalja.</w:t>
            </w:r>
          </w:p>
          <w:p w14:paraId="5971177D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2: Promocija i selekcija učesnika za PBL projekte</w:t>
            </w:r>
          </w:p>
          <w:p w14:paraId="629EF5B8" w14:textId="524F9B7F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kampanja.</w:t>
            </w:r>
          </w:p>
          <w:p w14:paraId="07456F7C" w14:textId="3FB8DCD4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4495F20B" w14:textId="47E8D19B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radionica.</w:t>
            </w:r>
          </w:p>
          <w:p w14:paraId="477363EA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3: Implementacija PBL projekata</w:t>
            </w:r>
          </w:p>
          <w:p w14:paraId="30CCF2A2" w14:textId="2D1BFE13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PBL projekata.</w:t>
            </w:r>
          </w:p>
          <w:p w14:paraId="4184F689" w14:textId="26C887E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timovima tokom projekata.</w:t>
            </w:r>
          </w:p>
          <w:p w14:paraId="24F2BCC3" w14:textId="06AA05B6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predloženih rešenja.</w:t>
            </w:r>
          </w:p>
          <w:p w14:paraId="0F405A43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4: Analiza i diseminacija rezultata PBL projekata</w:t>
            </w:r>
          </w:p>
          <w:p w14:paraId="32D37284" w14:textId="20FD0076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PBL projekata.</w:t>
            </w:r>
          </w:p>
          <w:p w14:paraId="74DCF1F0" w14:textId="575FBC92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5B3A8909" w14:textId="2A44EDF7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6FA7FA0E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lastRenderedPageBreak/>
              <w:t>Radni paket 5: Priprema praksi</w:t>
            </w:r>
          </w:p>
          <w:p w14:paraId="1A30D87C" w14:textId="152BD4C7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praksama.</w:t>
            </w:r>
          </w:p>
          <w:p w14:paraId="5EEDC804" w14:textId="25AA67E9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Identifikacija i angažovanje partnera i </w:t>
            </w:r>
            <w:r w:rsidR="006F37F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-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mentora.</w:t>
            </w:r>
          </w:p>
          <w:p w14:paraId="631F196B" w14:textId="1B543888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prakse.</w:t>
            </w:r>
          </w:p>
          <w:p w14:paraId="3B1F0127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6: Promocija i selekcija učesnika za prakse</w:t>
            </w:r>
          </w:p>
          <w:p w14:paraId="2F7C027F" w14:textId="45DEEF91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Sprovođenje marketing kampanja za </w:t>
            </w:r>
            <w:r w:rsidR="006F37F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-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promociju praksi.</w:t>
            </w:r>
          </w:p>
          <w:p w14:paraId="437886FF" w14:textId="40823F6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1DFBBB5" w14:textId="2CEEAF09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7F30C4C6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7: Implementacija praksi</w:t>
            </w:r>
          </w:p>
          <w:p w14:paraId="0CF9DEB7" w14:textId="0F45DBD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praksi.</w:t>
            </w:r>
          </w:p>
          <w:p w14:paraId="68E1C38E" w14:textId="51B8E87C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praksi.</w:t>
            </w:r>
          </w:p>
          <w:p w14:paraId="38181DD1" w14:textId="033548D6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praksi.</w:t>
            </w:r>
          </w:p>
          <w:p w14:paraId="103C9EBD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8: Analiza i diseminacija rezultata praksi</w:t>
            </w:r>
          </w:p>
          <w:p w14:paraId="00A27AE7" w14:textId="199F2161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praksi.</w:t>
            </w:r>
          </w:p>
          <w:p w14:paraId="745192E8" w14:textId="0D13448A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787DC7D0" w14:textId="59E4FE07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0C6773C5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9: Priprema kooperativnih programa</w:t>
            </w:r>
          </w:p>
          <w:p w14:paraId="77D1141F" w14:textId="4950F54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kooperativnim programima.</w:t>
            </w:r>
          </w:p>
          <w:p w14:paraId="2AFDD503" w14:textId="4E9B6531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66E18F5B" w14:textId="69E4E58D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kooperativne programe.</w:t>
            </w:r>
          </w:p>
          <w:p w14:paraId="764589E5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10: Promocija i selekcija učesnika za kooperativne programe</w:t>
            </w:r>
          </w:p>
          <w:p w14:paraId="64C80F59" w14:textId="5CBC35EC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kooperativnih programa.</w:t>
            </w:r>
          </w:p>
          <w:p w14:paraId="6A01BE98" w14:textId="354A49AC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5FF9B152" w14:textId="3D5C3882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Organizacija informacionih sesija i </w:t>
            </w:r>
            <w:r w:rsidR="006F37F3"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 xml:space="preserve">- </w:t>
            </w: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radionica za pripremu učesnika.</w:t>
            </w:r>
          </w:p>
          <w:p w14:paraId="09148A68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lastRenderedPageBreak/>
              <w:t>Radni paket 11: Implementacija kooperativnih programa</w:t>
            </w:r>
          </w:p>
          <w:p w14:paraId="740E75AB" w14:textId="08FEFFD7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kooperativnih programa.</w:t>
            </w:r>
          </w:p>
          <w:p w14:paraId="69C522AB" w14:textId="0BFA7C7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kooperativnih programa.</w:t>
            </w:r>
          </w:p>
          <w:p w14:paraId="4ACFFC92" w14:textId="3181B13B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kooperativnih programa.</w:t>
            </w:r>
          </w:p>
          <w:p w14:paraId="28194FF2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12: Analiza i diseminacija rezultata kooperativnih programa</w:t>
            </w:r>
          </w:p>
          <w:p w14:paraId="6E1CC7C2" w14:textId="0BFD5DC8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kooperativnih programa.</w:t>
            </w:r>
          </w:p>
          <w:p w14:paraId="61285D4D" w14:textId="06E750C7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izveštaja o rezultatima.</w:t>
            </w:r>
          </w:p>
          <w:p w14:paraId="64904EAD" w14:textId="6046E8EB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0F273EC8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13: Priprema servisnih programa</w:t>
            </w:r>
          </w:p>
          <w:p w14:paraId="6FA042C3" w14:textId="727E6EAB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Definisanje potreba za servisnim programima.</w:t>
            </w:r>
          </w:p>
          <w:p w14:paraId="722E374F" w14:textId="7CB0818B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Identifikacija i angažovanje partnera i mentora.</w:t>
            </w:r>
          </w:p>
          <w:p w14:paraId="720CD74B" w14:textId="5C7F52BD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Priprema logističkih detalja za servisne programe.</w:t>
            </w:r>
          </w:p>
          <w:p w14:paraId="71AC535A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14: Promocija i selekcija učesnika za servisne programe</w:t>
            </w:r>
          </w:p>
          <w:p w14:paraId="7B068E51" w14:textId="0DD4AAB4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Sprovođenje marketing kampanja za promociju servisnih programa.</w:t>
            </w:r>
          </w:p>
          <w:p w14:paraId="458EA58C" w14:textId="72B10AE8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Registracija i selekcija učesnika.</w:t>
            </w:r>
          </w:p>
          <w:p w14:paraId="0C71C9E6" w14:textId="5A1E17E2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Organizacija informacionih sesija i radionica za pripremu učesnika.</w:t>
            </w:r>
          </w:p>
          <w:p w14:paraId="045B2E76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15: Implementacija servisnih programa</w:t>
            </w:r>
          </w:p>
          <w:p w14:paraId="3912174B" w14:textId="38DA268A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Vođenje servisnih programa.</w:t>
            </w:r>
          </w:p>
          <w:p w14:paraId="06147B74" w14:textId="071DCE0F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Praćenje i podrška studentima tokom servisnih programa.</w:t>
            </w:r>
          </w:p>
          <w:p w14:paraId="5AD0D77F" w14:textId="279A0929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Evaluacija i ocenjivanje uspešnosti servisnih programa.</w:t>
            </w:r>
          </w:p>
          <w:p w14:paraId="18E8127C" w14:textId="77777777" w:rsidR="009D65CD" w:rsidRPr="009D65CD" w:rsidRDefault="009D65CD" w:rsidP="004E57CF">
            <w:pPr>
              <w:ind w:left="360"/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9D65CD">
              <w:rPr>
                <w:rFonts w:asciiTheme="minorHAnsi" w:hAnsiTheme="minorHAnsi" w:cs="Calibri"/>
                <w:b/>
                <w:bCs/>
                <w:color w:val="000000"/>
                <w:sz w:val="18"/>
                <w:szCs w:val="18"/>
              </w:rPr>
              <w:t>Radni paket 16: Analiza i diseminacija rezultata servisnih programa</w:t>
            </w:r>
          </w:p>
          <w:p w14:paraId="1A19CF61" w14:textId="7643E53F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Analiza rezultata servisnih programa.</w:t>
            </w:r>
          </w:p>
          <w:p w14:paraId="6B3575C8" w14:textId="7DA18A81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lastRenderedPageBreak/>
              <w:t>Priprema izveštaja o rezultatima.</w:t>
            </w:r>
          </w:p>
          <w:p w14:paraId="7CF466AC" w14:textId="5377FCD0" w:rsidR="009D65CD" w:rsidRPr="007F377B" w:rsidRDefault="009D65CD" w:rsidP="006F37F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="Calibri"/>
                <w:bCs/>
                <w:i/>
                <w:iCs/>
                <w:color w:val="000000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Cs/>
                <w:color w:val="000000"/>
                <w:sz w:val="18"/>
                <w:szCs w:val="18"/>
              </w:rPr>
              <w:t>Diseminacija rezultata putem konferencija, publikacija i online platformi.</w:t>
            </w:r>
          </w:p>
          <w:p w14:paraId="1D786EAD" w14:textId="667F5075" w:rsidR="00E17703" w:rsidRPr="007F377B" w:rsidRDefault="00E17703" w:rsidP="00417869">
            <w:pPr>
              <w:widowControl w:val="0"/>
              <w:tabs>
                <w:tab w:val="left" w:pos="228"/>
              </w:tabs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03AAC47" w14:textId="77777777" w:rsidR="00E17703" w:rsidRPr="007F377B" w:rsidRDefault="00E17703" w:rsidP="00E17703">
            <w:pPr>
              <w:pStyle w:val="Heading3"/>
              <w:spacing w:before="0" w:after="0"/>
              <w:jc w:val="left"/>
              <w:rPr>
                <w:rFonts w:asciiTheme="minorHAnsi" w:hAnsiTheme="minorHAnsi" w:cs="Calibri"/>
                <w:i w:val="0"/>
                <w:color w:val="000000"/>
                <w:sz w:val="20"/>
              </w:rPr>
            </w:pPr>
            <w:proofErr w:type="spellStart"/>
            <w:r w:rsidRPr="007F377B">
              <w:rPr>
                <w:rFonts w:asciiTheme="minorHAnsi" w:hAnsiTheme="minorHAnsi" w:cs="Calibri"/>
                <w:i w:val="0"/>
                <w:color w:val="000000"/>
                <w:sz w:val="20"/>
              </w:rPr>
              <w:lastRenderedPageBreak/>
              <w:t>Inputs</w:t>
            </w:r>
            <w:proofErr w:type="spellEnd"/>
            <w:r w:rsidRPr="007F377B">
              <w:rPr>
                <w:rFonts w:asciiTheme="minorHAnsi" w:hAnsiTheme="minorHAnsi" w:cs="Calibri"/>
                <w:i w:val="0"/>
                <w:color w:val="000000"/>
                <w:sz w:val="20"/>
              </w:rPr>
              <w:t>:</w:t>
            </w:r>
          </w:p>
          <w:p w14:paraId="55EFF9EE" w14:textId="77777777" w:rsidR="00E17703" w:rsidRPr="007F377B" w:rsidRDefault="00E17703" w:rsidP="00E17703">
            <w:pPr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inputs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implement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these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e.g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.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staff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time,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equipment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mobilities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publications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etc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.? </w:t>
            </w:r>
          </w:p>
          <w:p w14:paraId="6999D012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Staff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osoblja za istraživanje, razvoj, obuku i implementaciju - 20 zaposlenih, 300 radnih sati mesečno.</w:t>
            </w:r>
          </w:p>
          <w:p w14:paraId="4CD043CA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Travel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putovanja za radionice i događaje - 20 putovanja godišnje.</w:t>
            </w:r>
          </w:p>
          <w:p w14:paraId="6CC582E2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Costs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 xml:space="preserve"> of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stay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Troškovi boravka tokom događaja - 100 noćenja godišnje.</w:t>
            </w:r>
          </w:p>
          <w:p w14:paraId="703B0485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Equipment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Oprema za sprovođenje PBL projekata, praksi, kooperativnih programa i servisnih programa - 50 računara, 20 servera.</w:t>
            </w:r>
          </w:p>
          <w:p w14:paraId="23295C3A" w14:textId="77777777" w:rsidR="00724D30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Subcontracting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Angažovanje spoljnih stručnjaka i mentora - 10 stručnjaka godišnje.</w:t>
            </w:r>
          </w:p>
          <w:p w14:paraId="6A8830C1" w14:textId="54729F33" w:rsidR="002717B2" w:rsidRPr="007F377B" w:rsidRDefault="00724D30" w:rsidP="00724D30">
            <w:pPr>
              <w:pStyle w:val="BulletBox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sz w:val="18"/>
                <w:szCs w:val="18"/>
                <w:bdr w:val="single" w:sz="2" w:space="0" w:color="E3E3E3" w:frame="1"/>
              </w:rPr>
              <w:t>Co-financing</w:t>
            </w:r>
            <w:proofErr w:type="spellEnd"/>
            <w:r w:rsidRPr="007F377B">
              <w:rPr>
                <w:rFonts w:asciiTheme="minorHAnsi" w:hAnsiTheme="minorHAnsi" w:cs="Calibri"/>
                <w:sz w:val="18"/>
                <w:szCs w:val="18"/>
              </w:rPr>
              <w:t>: Su-finansiranje od strane partnera i sponzora - EUR 100,000 godišnje.</w:t>
            </w:r>
          </w:p>
        </w:tc>
        <w:tc>
          <w:tcPr>
            <w:tcW w:w="3685" w:type="dxa"/>
          </w:tcPr>
          <w:p w14:paraId="05C34D69" w14:textId="77777777" w:rsidR="00E17703" w:rsidRPr="007F377B" w:rsidRDefault="00E17703" w:rsidP="00E17703">
            <w:pPr>
              <w:numPr>
                <w:ilvl w:val="12"/>
                <w:numId w:val="0"/>
              </w:numPr>
              <w:ind w:left="170"/>
              <w:rPr>
                <w:rFonts w:asciiTheme="minorHAnsi" w:hAnsiTheme="minorHAnsi" w:cs="Calibri"/>
                <w:i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07D5AD6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Assumptions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risks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 xml:space="preserve"> and pre-</w:t>
            </w:r>
            <w:proofErr w:type="spellStart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b/>
                <w:bCs/>
                <w:iCs/>
                <w:color w:val="000000"/>
                <w:sz w:val="20"/>
                <w:szCs w:val="20"/>
              </w:rPr>
              <w:t>:</w:t>
            </w:r>
          </w:p>
          <w:p w14:paraId="5412853B" w14:textId="77777777" w:rsidR="00E17703" w:rsidRPr="007F377B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rFonts w:asciiTheme="minorHAnsi" w:hAnsiTheme="minorHAnsi" w:cs="Calibri"/>
                <w:i/>
                <w:iCs/>
                <w:sz w:val="16"/>
                <w:szCs w:val="16"/>
              </w:rPr>
            </w:pP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pre-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are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required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before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starts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?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What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conditions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outside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project’s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direct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control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have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to be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present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for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implementation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of the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planned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activities</w:t>
            </w:r>
            <w:proofErr w:type="spellEnd"/>
            <w:r w:rsidRPr="007F377B">
              <w:rPr>
                <w:rFonts w:asciiTheme="minorHAnsi" w:hAnsiTheme="minorHAnsi" w:cs="Calibri"/>
                <w:i/>
                <w:iCs/>
                <w:sz w:val="16"/>
                <w:szCs w:val="16"/>
              </w:rPr>
              <w:t>?</w:t>
            </w:r>
          </w:p>
          <w:p w14:paraId="07DD4C6D" w14:textId="77777777" w:rsidR="008A319B" w:rsidRPr="007F377B" w:rsidRDefault="008A319B" w:rsidP="008A319B">
            <w:pPr>
              <w:pStyle w:val="BulletBox"/>
              <w:numPr>
                <w:ilvl w:val="0"/>
                <w:numId w:val="0"/>
              </w:numPr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Pre-conditions:</w:t>
            </w:r>
          </w:p>
          <w:p w14:paraId="4FC9A0BA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Finansijska podrška: Osiguranje dovoljnog finansiranja pre početka projekta.</w:t>
            </w:r>
          </w:p>
          <w:p w14:paraId="0527E314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Tehnička infrastruktura: Dostupnost potrebne opreme i prostora za sprovođenje aktivnosti.</w:t>
            </w:r>
          </w:p>
          <w:p w14:paraId="3D6C252F" w14:textId="77777777" w:rsidR="008A319B" w:rsidRPr="007F377B" w:rsidRDefault="008A319B" w:rsidP="00A274D2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Podrška ključnih aktera: Angažovanje i podrška nastavnog osoblja, kompanija i zajednica.</w:t>
            </w:r>
          </w:p>
          <w:p w14:paraId="21732137" w14:textId="51D04176" w:rsidR="008A319B" w:rsidRPr="007F377B" w:rsidRDefault="008A319B" w:rsidP="008A319B">
            <w:pPr>
              <w:pStyle w:val="BulletBox"/>
              <w:numPr>
                <w:ilvl w:val="0"/>
                <w:numId w:val="0"/>
              </w:numPr>
              <w:tabs>
                <w:tab w:val="clear" w:pos="228"/>
                <w:tab w:val="left" w:pos="89"/>
              </w:tabs>
              <w:ind w:left="89"/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b/>
                <w:bCs/>
                <w:noProof/>
                <w:sz w:val="18"/>
                <w:szCs w:val="18"/>
              </w:rPr>
              <w:t>Conditions outside the project’s direct control:</w:t>
            </w:r>
          </w:p>
          <w:p w14:paraId="58CDECCE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Eksterna partnerstva: Održavanje aktivne saradnje sa kompanijama, zajednicama i mentorima.</w:t>
            </w:r>
          </w:p>
          <w:p w14:paraId="6F029305" w14:textId="77777777" w:rsidR="008A319B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t>Regulatorno okruženje: Stabilno i povoljno regulatorno okruženje koje podržava implementaciju svih komponenti projekta.</w:t>
            </w:r>
          </w:p>
          <w:p w14:paraId="658DF8D4" w14:textId="3AB725EA" w:rsidR="00CA6841" w:rsidRPr="007F377B" w:rsidRDefault="008A319B" w:rsidP="008A319B">
            <w:pPr>
              <w:pStyle w:val="BulletBox"/>
              <w:rPr>
                <w:rFonts w:asciiTheme="minorHAnsi" w:hAnsiTheme="minorHAnsi" w:cs="Calibri"/>
                <w:noProof/>
                <w:sz w:val="18"/>
                <w:szCs w:val="18"/>
              </w:rPr>
            </w:pPr>
            <w:r w:rsidRPr="007F377B">
              <w:rPr>
                <w:rFonts w:asciiTheme="minorHAnsi" w:hAnsiTheme="minorHAnsi" w:cs="Calibri"/>
                <w:noProof/>
                <w:sz w:val="18"/>
                <w:szCs w:val="18"/>
              </w:rPr>
              <w:lastRenderedPageBreak/>
              <w:t>Društveni i ekonomski faktori: Stabilna društvena i ekonomska situacija koja podržava obrazovne inicijative.</w:t>
            </w:r>
          </w:p>
        </w:tc>
      </w:tr>
    </w:tbl>
    <w:p w14:paraId="3393E59D" w14:textId="77777777" w:rsidR="00E17703" w:rsidRPr="007F377B" w:rsidRDefault="00E17703">
      <w:pPr>
        <w:rPr>
          <w:rFonts w:asciiTheme="minorHAnsi" w:hAnsiTheme="minorHAnsi" w:cs="Calibri"/>
          <w:sz w:val="18"/>
          <w:szCs w:val="18"/>
        </w:rPr>
      </w:pPr>
    </w:p>
    <w:sectPr w:rsidR="00E17703" w:rsidRPr="007F377B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6BD8C" w14:textId="77777777" w:rsidR="00314778" w:rsidRPr="007F377B" w:rsidRDefault="00314778">
      <w:r w:rsidRPr="007F377B">
        <w:separator/>
      </w:r>
    </w:p>
  </w:endnote>
  <w:endnote w:type="continuationSeparator" w:id="0">
    <w:p w14:paraId="30EED3B5" w14:textId="77777777" w:rsidR="00314778" w:rsidRPr="007F377B" w:rsidRDefault="00314778">
      <w:r w:rsidRPr="007F37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E6FCF" w14:textId="77777777" w:rsidR="00314778" w:rsidRPr="007F377B" w:rsidRDefault="00314778">
      <w:r w:rsidRPr="007F377B">
        <w:separator/>
      </w:r>
    </w:p>
  </w:footnote>
  <w:footnote w:type="continuationSeparator" w:id="0">
    <w:p w14:paraId="147049B9" w14:textId="77777777" w:rsidR="00314778" w:rsidRPr="007F377B" w:rsidRDefault="00314778">
      <w:r w:rsidRPr="007F37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3FE"/>
    <w:multiLevelType w:val="hybridMultilevel"/>
    <w:tmpl w:val="8A569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F546C"/>
    <w:multiLevelType w:val="multilevel"/>
    <w:tmpl w:val="FBD26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D0BDA"/>
    <w:multiLevelType w:val="multilevel"/>
    <w:tmpl w:val="C9C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0BDC"/>
    <w:multiLevelType w:val="hybridMultilevel"/>
    <w:tmpl w:val="71D6AA1A"/>
    <w:lvl w:ilvl="0" w:tplc="E44E3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28C5"/>
    <w:multiLevelType w:val="multilevel"/>
    <w:tmpl w:val="B5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728CB"/>
    <w:multiLevelType w:val="multilevel"/>
    <w:tmpl w:val="6B1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B2CC2"/>
    <w:multiLevelType w:val="multilevel"/>
    <w:tmpl w:val="A81EF6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24142"/>
    <w:multiLevelType w:val="hybridMultilevel"/>
    <w:tmpl w:val="89E24A76"/>
    <w:lvl w:ilvl="0" w:tplc="E44E3F5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32AD8"/>
    <w:multiLevelType w:val="hybridMultilevel"/>
    <w:tmpl w:val="B464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B53AC"/>
    <w:multiLevelType w:val="multilevel"/>
    <w:tmpl w:val="74E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00D99"/>
    <w:multiLevelType w:val="multilevel"/>
    <w:tmpl w:val="D4C6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B6DD1"/>
    <w:multiLevelType w:val="hybridMultilevel"/>
    <w:tmpl w:val="7A1E74C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50F64599"/>
    <w:multiLevelType w:val="hybridMultilevel"/>
    <w:tmpl w:val="94F8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10A89"/>
    <w:multiLevelType w:val="multilevel"/>
    <w:tmpl w:val="A2F41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D1CB9"/>
    <w:multiLevelType w:val="multilevel"/>
    <w:tmpl w:val="4C5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B3CDD"/>
    <w:multiLevelType w:val="multilevel"/>
    <w:tmpl w:val="6A34CA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37423"/>
    <w:multiLevelType w:val="multilevel"/>
    <w:tmpl w:val="713EDD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16E98"/>
    <w:multiLevelType w:val="hybridMultilevel"/>
    <w:tmpl w:val="12720AE8"/>
    <w:lvl w:ilvl="0" w:tplc="1A602FBE">
      <w:start w:val="1"/>
      <w:numFmt w:val="bullet"/>
      <w:pStyle w:val="BulletBox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9" w15:restartNumberingAfterBreak="0">
    <w:nsid w:val="5E6875DD"/>
    <w:multiLevelType w:val="hybridMultilevel"/>
    <w:tmpl w:val="FD4634A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 w15:restartNumberingAfterBreak="0">
    <w:nsid w:val="65FB0B12"/>
    <w:multiLevelType w:val="multilevel"/>
    <w:tmpl w:val="A61E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28060C"/>
    <w:multiLevelType w:val="hybridMultilevel"/>
    <w:tmpl w:val="2EC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506E5"/>
    <w:multiLevelType w:val="multilevel"/>
    <w:tmpl w:val="4E9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2661D"/>
    <w:multiLevelType w:val="hybridMultilevel"/>
    <w:tmpl w:val="564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7545">
    <w:abstractNumId w:val="18"/>
  </w:num>
  <w:num w:numId="2" w16cid:durableId="189489870">
    <w:abstractNumId w:val="18"/>
  </w:num>
  <w:num w:numId="3" w16cid:durableId="1289051309">
    <w:abstractNumId w:val="18"/>
  </w:num>
  <w:num w:numId="4" w16cid:durableId="638387117">
    <w:abstractNumId w:val="18"/>
  </w:num>
  <w:num w:numId="5" w16cid:durableId="768545325">
    <w:abstractNumId w:val="9"/>
  </w:num>
  <w:num w:numId="6" w16cid:durableId="2145268447">
    <w:abstractNumId w:val="18"/>
  </w:num>
  <w:num w:numId="7" w16cid:durableId="1138839563">
    <w:abstractNumId w:val="3"/>
  </w:num>
  <w:num w:numId="8" w16cid:durableId="1842353970">
    <w:abstractNumId w:val="23"/>
  </w:num>
  <w:num w:numId="9" w16cid:durableId="955601387">
    <w:abstractNumId w:val="21"/>
  </w:num>
  <w:num w:numId="10" w16cid:durableId="40567772">
    <w:abstractNumId w:val="12"/>
  </w:num>
  <w:num w:numId="11" w16cid:durableId="993292604">
    <w:abstractNumId w:val="19"/>
  </w:num>
  <w:num w:numId="12" w16cid:durableId="1153376090">
    <w:abstractNumId w:val="20"/>
  </w:num>
  <w:num w:numId="13" w16cid:durableId="1200510909">
    <w:abstractNumId w:val="15"/>
  </w:num>
  <w:num w:numId="14" w16cid:durableId="1142117713">
    <w:abstractNumId w:val="4"/>
  </w:num>
  <w:num w:numId="15" w16cid:durableId="1635864931">
    <w:abstractNumId w:val="5"/>
  </w:num>
  <w:num w:numId="16" w16cid:durableId="1468816197">
    <w:abstractNumId w:val="10"/>
  </w:num>
  <w:num w:numId="17" w16cid:durableId="60951320">
    <w:abstractNumId w:val="22"/>
  </w:num>
  <w:num w:numId="18" w16cid:durableId="778648599">
    <w:abstractNumId w:val="11"/>
  </w:num>
  <w:num w:numId="19" w16cid:durableId="8601309">
    <w:abstractNumId w:val="1"/>
  </w:num>
  <w:num w:numId="20" w16cid:durableId="770317155">
    <w:abstractNumId w:val="17"/>
  </w:num>
  <w:num w:numId="21" w16cid:durableId="363865280">
    <w:abstractNumId w:val="16"/>
  </w:num>
  <w:num w:numId="22" w16cid:durableId="2068990885">
    <w:abstractNumId w:val="6"/>
  </w:num>
  <w:num w:numId="23" w16cid:durableId="2115634632">
    <w:abstractNumId w:val="18"/>
  </w:num>
  <w:num w:numId="24" w16cid:durableId="356544739">
    <w:abstractNumId w:val="0"/>
  </w:num>
  <w:num w:numId="25" w16cid:durableId="1624506939">
    <w:abstractNumId w:val="2"/>
  </w:num>
  <w:num w:numId="26" w16cid:durableId="209077507">
    <w:abstractNumId w:val="14"/>
  </w:num>
  <w:num w:numId="27" w16cid:durableId="593130377">
    <w:abstractNumId w:val="8"/>
  </w:num>
  <w:num w:numId="28" w16cid:durableId="1912740366">
    <w:abstractNumId w:val="13"/>
  </w:num>
  <w:num w:numId="29" w16cid:durableId="526649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3"/>
    <w:rsid w:val="0000646C"/>
    <w:rsid w:val="00015ABB"/>
    <w:rsid w:val="0004207C"/>
    <w:rsid w:val="00052EAF"/>
    <w:rsid w:val="00054188"/>
    <w:rsid w:val="00055B2E"/>
    <w:rsid w:val="000604CF"/>
    <w:rsid w:val="00066A65"/>
    <w:rsid w:val="000771B3"/>
    <w:rsid w:val="00081ABE"/>
    <w:rsid w:val="000912C7"/>
    <w:rsid w:val="000A31A6"/>
    <w:rsid w:val="000B234C"/>
    <w:rsid w:val="000B36C2"/>
    <w:rsid w:val="000B41C8"/>
    <w:rsid w:val="000E7AA8"/>
    <w:rsid w:val="0010477A"/>
    <w:rsid w:val="00107A1E"/>
    <w:rsid w:val="001156EE"/>
    <w:rsid w:val="00135C53"/>
    <w:rsid w:val="00145809"/>
    <w:rsid w:val="001504BD"/>
    <w:rsid w:val="001524F5"/>
    <w:rsid w:val="001721FB"/>
    <w:rsid w:val="0017385F"/>
    <w:rsid w:val="001908C2"/>
    <w:rsid w:val="00196F7C"/>
    <w:rsid w:val="001D5D70"/>
    <w:rsid w:val="001E0977"/>
    <w:rsid w:val="00220327"/>
    <w:rsid w:val="00234A90"/>
    <w:rsid w:val="0027003F"/>
    <w:rsid w:val="002717B2"/>
    <w:rsid w:val="002806F6"/>
    <w:rsid w:val="00296D09"/>
    <w:rsid w:val="002B47E9"/>
    <w:rsid w:val="002B673F"/>
    <w:rsid w:val="002E736F"/>
    <w:rsid w:val="002F2456"/>
    <w:rsid w:val="00314778"/>
    <w:rsid w:val="0032114F"/>
    <w:rsid w:val="00331974"/>
    <w:rsid w:val="003508F8"/>
    <w:rsid w:val="00385661"/>
    <w:rsid w:val="003921B3"/>
    <w:rsid w:val="00395F42"/>
    <w:rsid w:val="003E32A2"/>
    <w:rsid w:val="003F17FF"/>
    <w:rsid w:val="0040009F"/>
    <w:rsid w:val="00412C65"/>
    <w:rsid w:val="00417869"/>
    <w:rsid w:val="00424E41"/>
    <w:rsid w:val="00456365"/>
    <w:rsid w:val="004665CD"/>
    <w:rsid w:val="004875F0"/>
    <w:rsid w:val="00490380"/>
    <w:rsid w:val="0049408D"/>
    <w:rsid w:val="004968D5"/>
    <w:rsid w:val="00496CF9"/>
    <w:rsid w:val="004A62C2"/>
    <w:rsid w:val="004B325D"/>
    <w:rsid w:val="004B62EE"/>
    <w:rsid w:val="004C1C59"/>
    <w:rsid w:val="004C2950"/>
    <w:rsid w:val="004E030E"/>
    <w:rsid w:val="004E57CF"/>
    <w:rsid w:val="004F0BCE"/>
    <w:rsid w:val="00514AE0"/>
    <w:rsid w:val="00520182"/>
    <w:rsid w:val="00550DDF"/>
    <w:rsid w:val="00555859"/>
    <w:rsid w:val="0057188D"/>
    <w:rsid w:val="005720C4"/>
    <w:rsid w:val="00572365"/>
    <w:rsid w:val="00586E30"/>
    <w:rsid w:val="00590DCF"/>
    <w:rsid w:val="00592698"/>
    <w:rsid w:val="0059303B"/>
    <w:rsid w:val="005A00D2"/>
    <w:rsid w:val="005E5C77"/>
    <w:rsid w:val="005F5F4F"/>
    <w:rsid w:val="00612E81"/>
    <w:rsid w:val="006203EF"/>
    <w:rsid w:val="0062231D"/>
    <w:rsid w:val="00650EDC"/>
    <w:rsid w:val="006523E7"/>
    <w:rsid w:val="0066457C"/>
    <w:rsid w:val="006B2BE6"/>
    <w:rsid w:val="006B6AD8"/>
    <w:rsid w:val="006C4A34"/>
    <w:rsid w:val="006D0AE1"/>
    <w:rsid w:val="006E145E"/>
    <w:rsid w:val="006E3897"/>
    <w:rsid w:val="006E54D6"/>
    <w:rsid w:val="006E76FE"/>
    <w:rsid w:val="006F37F3"/>
    <w:rsid w:val="00706C65"/>
    <w:rsid w:val="00707A73"/>
    <w:rsid w:val="007201A4"/>
    <w:rsid w:val="00724C3A"/>
    <w:rsid w:val="00724D30"/>
    <w:rsid w:val="00733DC5"/>
    <w:rsid w:val="00733DDE"/>
    <w:rsid w:val="007361DA"/>
    <w:rsid w:val="007733E2"/>
    <w:rsid w:val="007736ED"/>
    <w:rsid w:val="0077390D"/>
    <w:rsid w:val="00786D7F"/>
    <w:rsid w:val="007B2E76"/>
    <w:rsid w:val="007C1C61"/>
    <w:rsid w:val="007D1380"/>
    <w:rsid w:val="007D680A"/>
    <w:rsid w:val="007D68EA"/>
    <w:rsid w:val="007F377B"/>
    <w:rsid w:val="00816E36"/>
    <w:rsid w:val="00846F4D"/>
    <w:rsid w:val="00851346"/>
    <w:rsid w:val="008549B6"/>
    <w:rsid w:val="0085665C"/>
    <w:rsid w:val="00857F3B"/>
    <w:rsid w:val="008637A9"/>
    <w:rsid w:val="008649E1"/>
    <w:rsid w:val="0088226B"/>
    <w:rsid w:val="00893A5C"/>
    <w:rsid w:val="008A0CAE"/>
    <w:rsid w:val="008A319B"/>
    <w:rsid w:val="008C5B76"/>
    <w:rsid w:val="008C5CA6"/>
    <w:rsid w:val="008E2753"/>
    <w:rsid w:val="008F6E1C"/>
    <w:rsid w:val="009066FC"/>
    <w:rsid w:val="009161B2"/>
    <w:rsid w:val="0093046B"/>
    <w:rsid w:val="00964396"/>
    <w:rsid w:val="009733E8"/>
    <w:rsid w:val="009811AE"/>
    <w:rsid w:val="009B3A2D"/>
    <w:rsid w:val="009B603B"/>
    <w:rsid w:val="009D65CD"/>
    <w:rsid w:val="009E0263"/>
    <w:rsid w:val="009F2967"/>
    <w:rsid w:val="00A3367B"/>
    <w:rsid w:val="00A33AAA"/>
    <w:rsid w:val="00A37758"/>
    <w:rsid w:val="00A50286"/>
    <w:rsid w:val="00A60D80"/>
    <w:rsid w:val="00A629FF"/>
    <w:rsid w:val="00A749F5"/>
    <w:rsid w:val="00A915A7"/>
    <w:rsid w:val="00AA13A7"/>
    <w:rsid w:val="00AA4A4B"/>
    <w:rsid w:val="00AA7492"/>
    <w:rsid w:val="00AB7893"/>
    <w:rsid w:val="00AE08B5"/>
    <w:rsid w:val="00AF0848"/>
    <w:rsid w:val="00AF215A"/>
    <w:rsid w:val="00AF46DD"/>
    <w:rsid w:val="00B349A9"/>
    <w:rsid w:val="00B4552E"/>
    <w:rsid w:val="00B51472"/>
    <w:rsid w:val="00B61366"/>
    <w:rsid w:val="00B61B65"/>
    <w:rsid w:val="00B66CC5"/>
    <w:rsid w:val="00BB2660"/>
    <w:rsid w:val="00BD1315"/>
    <w:rsid w:val="00BE16ED"/>
    <w:rsid w:val="00BE747B"/>
    <w:rsid w:val="00BF1DF0"/>
    <w:rsid w:val="00C35318"/>
    <w:rsid w:val="00C44B4C"/>
    <w:rsid w:val="00C57FB4"/>
    <w:rsid w:val="00C66E7E"/>
    <w:rsid w:val="00C769B1"/>
    <w:rsid w:val="00C77712"/>
    <w:rsid w:val="00C86CF0"/>
    <w:rsid w:val="00CA6841"/>
    <w:rsid w:val="00CF2B4C"/>
    <w:rsid w:val="00D24475"/>
    <w:rsid w:val="00D27761"/>
    <w:rsid w:val="00D44F34"/>
    <w:rsid w:val="00D56243"/>
    <w:rsid w:val="00D56E80"/>
    <w:rsid w:val="00D70F03"/>
    <w:rsid w:val="00D84D56"/>
    <w:rsid w:val="00DA10E0"/>
    <w:rsid w:val="00DC1896"/>
    <w:rsid w:val="00DC24FF"/>
    <w:rsid w:val="00DC6AD2"/>
    <w:rsid w:val="00DE3D22"/>
    <w:rsid w:val="00DF5C0A"/>
    <w:rsid w:val="00DF77A6"/>
    <w:rsid w:val="00E0629A"/>
    <w:rsid w:val="00E07990"/>
    <w:rsid w:val="00E13F9D"/>
    <w:rsid w:val="00E1579D"/>
    <w:rsid w:val="00E17218"/>
    <w:rsid w:val="00E17703"/>
    <w:rsid w:val="00E41A7B"/>
    <w:rsid w:val="00E5687C"/>
    <w:rsid w:val="00E83E00"/>
    <w:rsid w:val="00E93537"/>
    <w:rsid w:val="00EC4E6D"/>
    <w:rsid w:val="00ED2CB9"/>
    <w:rsid w:val="00EE38D2"/>
    <w:rsid w:val="00EF550C"/>
    <w:rsid w:val="00F02DA0"/>
    <w:rsid w:val="00F30BD6"/>
    <w:rsid w:val="00F44482"/>
    <w:rsid w:val="00F47EED"/>
    <w:rsid w:val="00F532C8"/>
    <w:rsid w:val="00F62FBA"/>
    <w:rsid w:val="00F64F20"/>
    <w:rsid w:val="00F7396A"/>
    <w:rsid w:val="00F853B5"/>
    <w:rsid w:val="00F87023"/>
    <w:rsid w:val="00F96DBD"/>
    <w:rsid w:val="00FB145D"/>
    <w:rsid w:val="00FC5226"/>
    <w:rsid w:val="00FC62F3"/>
    <w:rsid w:val="00FC6FE4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911D"/>
  <w15:chartTrackingRefBased/>
  <w15:docId w15:val="{BDD025A8-5457-4455-BEAA-C4E38C2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Latn-RS" w:eastAsia="en-GB"/>
    </w:rPr>
  </w:style>
  <w:style w:type="paragraph" w:styleId="Heading2">
    <w:name w:val="heading 2"/>
    <w:basedOn w:val="Normal"/>
    <w:next w:val="Normal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23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0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6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2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11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Curic</dc:creator>
  <cp:keywords/>
  <cp:lastModifiedBy>Ella Curic</cp:lastModifiedBy>
  <cp:revision>8</cp:revision>
  <cp:lastPrinted>2013-02-26T10:08:00Z</cp:lastPrinted>
  <dcterms:created xsi:type="dcterms:W3CDTF">2024-05-22T11:34:00Z</dcterms:created>
  <dcterms:modified xsi:type="dcterms:W3CDTF">2024-05-29T11:53:00Z</dcterms:modified>
</cp:coreProperties>
</file>