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00C78AFE">
      <w:r>
        <w:rPr>
          <w:b w:val="1"/>
          <w:bCs w:val="1"/>
        </w:rPr>
        <w:t xml:space="preserve">CREDIT SCORECARD MODEL ANALYSIS</w:t>
      </w:r>
    </w:p>
    <w:p w:rsidR="70241225" w:rsidP="70241225" w:rsidRDefault="70241225" w14:paraId="379D4167" w14:textId="7BB6DCD4">
      <w:pPr>
        <w:rPr>
          <w:b w:val="1"/>
          <w:bCs w:val="1"/>
        </w:rPr>
      </w:pPr>
    </w:p>
    <w:p w:rsidR="42E03A06" w:rsidP="70241225" w:rsidRDefault="42E03A06" w14:paraId="0B7172D1" w14:textId="3F933AFC">
      <w:pPr>
        <w:rPr>
          <w:b w:val="1"/>
          <w:bCs w:val="1"/>
          <w:i w:val="1"/>
          <w:iCs w:val="1"/>
        </w:rPr>
      </w:pPr>
      <w:r>
        <w:rPr>
          <w:b w:val="1"/>
          <w:bCs w:val="1"/>
          <w:i w:val="1"/>
          <w:iCs w:val="1"/>
        </w:rPr>
        <w:t>SUMMARY</w:t>
      </w:r>
    </w:p>
    <w:p w:rsidR="42E03A06" w:rsidP="70241225" w:rsidRDefault="42E03A06" w14:paraId="6A81BCE2" w14:textId="3A2834A6">
      <w:pPr>
        <w:jc w:val="both"/>
      </w:pPr>
      <w:r>
        <w:rPr>
          <w:b w:val="0"/>
          <w:bCs w:val="0"/>
        </w:rPr>
        <w:t xml:space="preserve">This project builds a credit scorecard derived from the well-known Lending Club dataset of US retail loans (CSV download available: </w:t>
      </w:r>
      <w:hyperlink r:id="Re2bbda3d9d774204">
        <w:r>
          <w:rPr>
            <w:rStyle w:val="Hyperlink"/>
            <w:b w:val="0"/>
            <w:bCs w:val="0"/>
          </w:rPr>
          <w:t>https://zenodo.org/records/11295916</w:t>
        </w:r>
      </w:hyperlink>
      <w:r>
        <w:rPr>
          <w:b w:val="0"/>
          <w:bCs w:val="0"/>
        </w:rPr>
        <w:t xml:space="preserve">) using unpenalised and ridge logistic regression in Python. </w:t>
      </w:r>
    </w:p>
    <w:p w:rsidR="11EE4903" w:rsidP="70241225" w:rsidRDefault="11EE4903" w14:paraId="61A004D0" w14:textId="20F1C6E5">
      <w:pPr>
        <w:jc w:val="both"/>
      </w:pPr>
      <w:r>
        <w:rPr>
          <w:b w:val="0"/>
          <w:bCs w:val="0"/>
        </w:rPr>
        <w:t xml:space="preserve">The data is split between training and testing data, weight-of-evidence and information value scores are used to select variables, and these variables are then tested for multicollinearity using variance inflation factors. The Kolmogorov-Smirnov test statistic is used to determine the optimal threshold for classification and validation is performed using ROC, accuracy, precision, recall, and f1 scores.</w:t>
      </w:r>
    </w:p>
    <w:p w:rsidR="3613ABAB" w:rsidP="70241225" w:rsidRDefault="3613ABAB" w14:paraId="19C57E85" w14:textId="33A606BC">
      <w:pPr>
        <w:jc w:val="both"/>
      </w:pPr>
      <w:r>
        <w:rPr>
          <w:b w:val="0"/>
          <w:bCs w:val="0"/>
        </w:rPr>
        <w:t xml:space="preserve">The logistic regression output is then converted into scorecard format, which is presented as an interactive Excel workbook. This gives the user the option of centering the scoring on different scores for different odds of default and observing the output given different loan amounts, loan purposes, FICO scores, etc.</w:t>
      </w:r>
    </w:p>
    <w:p w:rsidR="70241225" w:rsidP="70241225" w:rsidRDefault="70241225" w14:paraId="296DCA81" w14:textId="041640C1">
      <w:pPr>
        <w:jc w:val="both"/>
        <w:rPr>
          <w:b w:val="0"/>
          <w:bCs w:val="0"/>
        </w:rPr>
      </w:pPr>
    </w:p>
    <w:p w:rsidR="1B4656FA" w:rsidP="70241225" w:rsidRDefault="1B4656FA" w14:paraId="4C6D1C31" w14:textId="1C8014E0">
      <w:pPr>
        <w:jc w:val="both"/>
      </w:pPr>
      <w:r>
        <w:rPr>
          <w:b w:val="1"/>
          <w:bCs w:val="1"/>
          <w:i w:val="1"/>
          <w:iCs w:val="1"/>
        </w:rPr>
        <w:t>VARIABLE SELECTION</w:t>
      </w:r>
    </w:p>
    <w:p w:rsidR="1B4656FA" w:rsidP="70241225" w:rsidRDefault="1B4656FA" w14:paraId="34A25EAE" w14:textId="6DE5ED38">
      <w:pPr>
        <w:jc w:val="both"/>
        <w:rPr>
          <w:b w:val="0"/>
          <w:bCs w:val="0"/>
          <w:i w:val="0"/>
          <w:iCs w:val="0"/>
        </w:rPr>
      </w:pPr>
      <w:r>
        <w:rPr>
          <w:b w:val="0"/>
          <w:bCs w:val="0"/>
          <w:i w:val="0"/>
          <w:iCs w:val="0"/>
        </w:rPr>
        <w:t xml:space="preserve">The original variables in the Lending Club dataset are given below:</w:t>
      </w:r>
    </w:p>
    <w:tbl>
      <w:tblPr>
        <w:tblStyle w:val="GridTable4-Accent1"/>
        <w:tblW w:w="0" w:type="auto"/>
        <w:tblLook w:val="06A0" w:firstRow="1" w:lastRow="0" w:firstColumn="1" w:lastColumn="0" w:noHBand="1" w:noVBand="1"/>
      </w:tblPr>
      <w:tblGrid>
        <w:gridCol w:w="2340"/>
        <w:gridCol w:w="2205"/>
        <w:gridCol w:w="6255"/>
      </w:tblGrid>
      <w:tr w:rsidR="70241225" w:rsidTr="677AD3B0" w14:paraId="48D27DA0">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8D67837" w:rsidP="70241225" w:rsidRDefault="48D67837" w14:paraId="541E23CF" w14:textId="34DF560D">
            <w:pPr>
              <w:pStyle w:val="Normal"/>
              <w:rPr>
                <w:b w:val="0"/>
                <w:bCs w:val="0"/>
                <w:i w:val="1"/>
                <w:iCs w:val="1"/>
              </w:rPr>
            </w:pPr>
            <w:r>
              <w:rPr>
                <w:b w:val="0"/>
                <w:bCs w:val="0"/>
                <w:i w:val="1"/>
                <w:iCs w:val="1"/>
              </w:rPr>
              <w:t>Variable Name</w:t>
            </w:r>
          </w:p>
        </w:tc>
        <w:tc>
          <w:tcPr>
            <w:cnfStyle w:val="000000000000" w:firstRow="0" w:lastRow="0" w:firstColumn="0" w:lastColumn="0" w:oddVBand="0" w:evenVBand="0" w:oddHBand="0" w:evenHBand="0" w:firstRowFirstColumn="0" w:firstRowLastColumn="0" w:lastRowFirstColumn="0" w:lastRowLastColumn="0"/>
            <w:tcW w:w="2205" w:type="dxa"/>
            <w:tcMar/>
          </w:tcPr>
          <w:p w:rsidR="58A96521" w:rsidP="70241225" w:rsidRDefault="58A96521" w14:paraId="2590A7AC" w14:textId="1FE134B0">
            <w:pPr>
              <w:pStyle w:val="Normal"/>
              <w:rPr>
                <w:b w:val="0"/>
                <w:bCs w:val="0"/>
                <w:i w:val="1"/>
                <w:iCs w:val="1"/>
              </w:rPr>
            </w:pPr>
            <w:r>
              <w:rPr>
                <w:b w:val="0"/>
                <w:bCs w:val="0"/>
                <w:i w:val="1"/>
                <w:iCs w:val="1"/>
              </w:rPr>
              <w:t xml:space="preserve">Data Type</w:t>
            </w:r>
          </w:p>
        </w:tc>
        <w:tc>
          <w:tcPr>
            <w:cnfStyle w:val="000000000000" w:firstRow="0" w:lastRow="0" w:firstColumn="0" w:lastColumn="0" w:oddVBand="0" w:evenVBand="0" w:oddHBand="0" w:evenHBand="0" w:firstRowFirstColumn="0" w:firstRowLastColumn="0" w:lastRowFirstColumn="0" w:lastRowLastColumn="0"/>
            <w:tcW w:w="6255" w:type="dxa"/>
            <w:tcMar/>
          </w:tcPr>
          <w:p w:rsidR="7C268FEF" w:rsidP="70241225" w:rsidRDefault="7C268FEF" w14:paraId="24B43A71" w14:textId="2B42B201">
            <w:pPr>
              <w:pStyle w:val="Normal"/>
              <w:rPr>
                <w:b w:val="0"/>
                <w:bCs w:val="0"/>
                <w:i w:val="1"/>
                <w:iCs w:val="1"/>
              </w:rPr>
            </w:pPr>
            <w:r>
              <w:rPr>
                <w:b w:val="0"/>
                <w:bCs w:val="0"/>
                <w:i w:val="1"/>
                <w:iCs w:val="1"/>
              </w:rPr>
              <w:t>Description</w:t>
            </w:r>
          </w:p>
        </w:tc>
      </w:tr>
      <w:tr w:rsidR="70241225" w:rsidTr="677AD3B0" w14:paraId="7203FCE9">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7C268FEF" w:rsidP="70241225" w:rsidRDefault="7C268FEF" w14:paraId="5E880DAB" w14:textId="5E6AD8BA">
            <w:pPr>
              <w:pStyle w:val="Normal"/>
            </w:pPr>
            <w:r>
              <w:rPr>
                <w:b w:val="0"/>
                <w:bCs w:val="0"/>
                <w:i w:val="0"/>
                <w:iCs w:val="0"/>
              </w:rPr>
              <w:t>id</w:t>
            </w:r>
          </w:p>
        </w:tc>
        <w:tc>
          <w:tcPr>
            <w:cnfStyle w:val="000000000000" w:firstRow="0" w:lastRow="0" w:firstColumn="0" w:lastColumn="0" w:oddVBand="0" w:evenVBand="0" w:oddHBand="0" w:evenHBand="0" w:firstRowFirstColumn="0" w:firstRowLastColumn="0" w:lastRowFirstColumn="0" w:lastRowLastColumn="0"/>
            <w:tcW w:w="2205" w:type="dxa"/>
            <w:tcMar/>
          </w:tcPr>
          <w:p w:rsidR="3BD95A27" w:rsidP="70241225" w:rsidRDefault="3BD95A27" w14:paraId="3E5C67F3" w14:textId="3E8BF586">
            <w:pPr>
              <w:pStyle w:val="Normal"/>
            </w:pPr>
            <w:r>
              <w:rPr>
                <w:b w:val="0"/>
                <w:bCs w:val="0"/>
                <w:i w:val="0"/>
                <w:iCs w:val="0"/>
              </w:rPr>
              <w:t>Categorical</w:t>
            </w:r>
          </w:p>
        </w:tc>
        <w:tc>
          <w:tcPr>
            <w:cnfStyle w:val="000000000000" w:firstRow="0" w:lastRow="0" w:firstColumn="0" w:lastColumn="0" w:oddVBand="0" w:evenVBand="0" w:oddHBand="0" w:evenHBand="0" w:firstRowFirstColumn="0" w:firstRowLastColumn="0" w:lastRowFirstColumn="0" w:lastRowLastColumn="0"/>
            <w:tcW w:w="6255" w:type="dxa"/>
            <w:tcMar/>
          </w:tcPr>
          <w:p w:rsidR="59AEBDA6" w:rsidP="70241225" w:rsidRDefault="59AEBDA6" w14:paraId="09549CA5" w14:textId="6D7F5E15">
            <w:pPr>
              <w:pStyle w:val="Normal"/>
            </w:pPr>
            <w:r>
              <w:rPr>
                <w:b w:val="0"/>
                <w:bCs w:val="0"/>
                <w:i w:val="0"/>
                <w:iCs w:val="0"/>
              </w:rPr>
              <w:t xml:space="preserve">ID number for borrower</w:t>
            </w:r>
          </w:p>
        </w:tc>
      </w:tr>
      <w:tr w:rsidR="70241225" w:rsidTr="677AD3B0" w14:paraId="5903975D">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7C268FEF" w:rsidP="70241225" w:rsidRDefault="7C268FEF" w14:paraId="44806390" w14:textId="18F7C769">
            <w:pPr>
              <w:pStyle w:val="Normal"/>
            </w:pPr>
            <w:r>
              <w:rPr>
                <w:b w:val="0"/>
                <w:bCs w:val="0"/>
                <w:i w:val="0"/>
                <w:iCs w:val="0"/>
              </w:rPr>
              <w:t>issue_d</w:t>
            </w:r>
          </w:p>
        </w:tc>
        <w:tc>
          <w:tcPr>
            <w:cnfStyle w:val="000000000000" w:firstRow="0" w:lastRow="0" w:firstColumn="0" w:lastColumn="0" w:oddVBand="0" w:evenVBand="0" w:oddHBand="0" w:evenHBand="0" w:firstRowFirstColumn="0" w:firstRowLastColumn="0" w:lastRowFirstColumn="0" w:lastRowLastColumn="0"/>
            <w:tcW w:w="2205" w:type="dxa"/>
            <w:tcMar/>
          </w:tcPr>
          <w:p w:rsidR="42EE49AD" w:rsidP="70241225" w:rsidRDefault="42EE49AD" w14:paraId="6DF6655C" w14:textId="04AF5DAC">
            <w:pPr>
              <w:pStyle w:val="Normal"/>
            </w:pPr>
            <w:r>
              <w:rPr>
                <w:b w:val="0"/>
                <w:bCs w:val="0"/>
                <w:i w:val="0"/>
                <w:iCs w:val="0"/>
              </w:rPr>
              <w:t>Date (month-year)</w:t>
            </w:r>
          </w:p>
        </w:tc>
        <w:tc>
          <w:tcPr>
            <w:cnfStyle w:val="000000000000" w:firstRow="0" w:lastRow="0" w:firstColumn="0" w:lastColumn="0" w:oddVBand="0" w:evenVBand="0" w:oddHBand="0" w:evenHBand="0" w:firstRowFirstColumn="0" w:firstRowLastColumn="0" w:lastRowFirstColumn="0" w:lastRowLastColumn="0"/>
            <w:tcW w:w="6255" w:type="dxa"/>
            <w:tcMar/>
          </w:tcPr>
          <w:p w:rsidR="5CCFE1CB" w:rsidP="70241225" w:rsidRDefault="5CCFE1CB" w14:paraId="514B003F" w14:textId="4679C039">
            <w:pPr>
              <w:pStyle w:val="Normal"/>
            </w:pPr>
            <w:r>
              <w:rPr>
                <w:b w:val="0"/>
                <w:bCs w:val="0"/>
                <w:i w:val="0"/>
                <w:iCs w:val="0"/>
              </w:rPr>
              <w:t xml:space="preserve">Date when loan was issued</w:t>
            </w:r>
          </w:p>
        </w:tc>
      </w:tr>
      <w:tr w:rsidR="70241225" w:rsidTr="677AD3B0" w14:paraId="301A0CEE">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19A4A5F7" w14:textId="2F99A52B">
            <w:pPr>
              <w:pStyle w:val="Normal"/>
            </w:pPr>
            <w:r>
              <w:rPr>
                <w:b w:val="0"/>
                <w:bCs w:val="0"/>
                <w:i w:val="0"/>
                <w:iCs w:val="0"/>
              </w:rPr>
              <w:t>revenue</w:t>
            </w:r>
          </w:p>
        </w:tc>
        <w:tc>
          <w:tcPr>
            <w:cnfStyle w:val="000000000000" w:firstRow="0" w:lastRow="0" w:firstColumn="0" w:lastColumn="0" w:oddVBand="0" w:evenVBand="0" w:oddHBand="0" w:evenHBand="0" w:firstRowFirstColumn="0" w:firstRowLastColumn="0" w:lastRowFirstColumn="0" w:lastRowLastColumn="0"/>
            <w:tcW w:w="2205" w:type="dxa"/>
            <w:tcMar/>
          </w:tcPr>
          <w:p w:rsidR="796C994A" w:rsidP="70241225" w:rsidRDefault="796C994A" w14:paraId="67EA7F7D" w14:textId="592F2B81">
            <w:pPr>
              <w:pStyle w:val="Normal"/>
            </w:pPr>
            <w:r>
              <w:rPr>
                <w:b w:val="0"/>
                <w:bCs w:val="0"/>
                <w:i w:val="0"/>
                <w:iCs w:val="0"/>
              </w:rPr>
              <w:t>Numerical</w:t>
            </w:r>
          </w:p>
        </w:tc>
        <w:tc>
          <w:tcPr>
            <w:cnfStyle w:val="000000000000" w:firstRow="0" w:lastRow="0" w:firstColumn="0" w:lastColumn="0" w:oddVBand="0" w:evenVBand="0" w:oddHBand="0" w:evenHBand="0" w:firstRowFirstColumn="0" w:firstRowLastColumn="0" w:lastRowFirstColumn="0" w:lastRowLastColumn="0"/>
            <w:tcW w:w="6255" w:type="dxa"/>
            <w:tcMar/>
          </w:tcPr>
          <w:p w:rsidR="2AB5DB18" w:rsidP="70241225" w:rsidRDefault="2AB5DB18" w14:paraId="429D0401" w14:textId="0D5233CB">
            <w:pPr>
              <w:pStyle w:val="Normal"/>
            </w:pPr>
            <w:r>
              <w:rPr>
                <w:b w:val="0"/>
                <w:bCs w:val="0"/>
                <w:i w:val="0"/>
                <w:iCs w:val="0"/>
              </w:rPr>
              <w:t>Borrower’s self-declared annual income in USD</w:t>
            </w:r>
          </w:p>
        </w:tc>
      </w:tr>
      <w:tr w:rsidR="70241225" w:rsidTr="677AD3B0" w14:paraId="488FC4A8">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1990C18E" w14:textId="72C19B90">
            <w:pPr>
              <w:pStyle w:val="Normal"/>
            </w:pPr>
            <w:r>
              <w:rPr>
                <w:b w:val="0"/>
                <w:bCs w:val="0"/>
                <w:i w:val="0"/>
                <w:iCs w:val="0"/>
              </w:rPr>
              <w:t>dti_n</w:t>
            </w:r>
          </w:p>
        </w:tc>
        <w:tc>
          <w:tcPr>
            <w:cnfStyle w:val="000000000000" w:firstRow="0" w:lastRow="0" w:firstColumn="0" w:lastColumn="0" w:oddVBand="0" w:evenVBand="0" w:oddHBand="0" w:evenHBand="0" w:firstRowFirstColumn="0" w:firstRowLastColumn="0" w:lastRowFirstColumn="0" w:lastRowLastColumn="0"/>
            <w:tcW w:w="2205" w:type="dxa"/>
            <w:tcMar/>
          </w:tcPr>
          <w:p w:rsidR="49044098" w:rsidP="70241225" w:rsidRDefault="49044098" w14:paraId="49A11C4E" w14:textId="03800220">
            <w:pPr>
              <w:pStyle w:val="Normal"/>
            </w:pPr>
            <w:r>
              <w:rPr>
                <w:b w:val="0"/>
                <w:bCs w:val="0"/>
                <w:i w:val="0"/>
                <w:iCs w:val="0"/>
              </w:rPr>
              <w:t>Numerical</w:t>
            </w:r>
          </w:p>
        </w:tc>
        <w:tc>
          <w:tcPr>
            <w:cnfStyle w:val="000000000000" w:firstRow="0" w:lastRow="0" w:firstColumn="0" w:lastColumn="0" w:oddVBand="0" w:evenVBand="0" w:oddHBand="0" w:evenHBand="0" w:firstRowFirstColumn="0" w:firstRowLastColumn="0" w:lastRowFirstColumn="0" w:lastRowLastColumn="0"/>
            <w:tcW w:w="6255" w:type="dxa"/>
            <w:tcMar/>
          </w:tcPr>
          <w:p w:rsidR="51E5608D" w:rsidP="70241225" w:rsidRDefault="51E5608D" w14:paraId="68F25F07" w14:textId="414C47F7">
            <w:pPr>
              <w:pStyle w:val="Normal"/>
            </w:pPr>
            <w:r>
              <w:rPr>
                <w:b w:val="0"/>
                <w:bCs w:val="0"/>
                <w:i w:val="0"/>
                <w:iCs w:val="0"/>
              </w:rPr>
              <w:t>Debt to income ratio</w:t>
            </w:r>
          </w:p>
        </w:tc>
      </w:tr>
      <w:tr w:rsidR="70241225" w:rsidTr="677AD3B0" w14:paraId="115A2C76">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06417AEB" w14:textId="19EA0523">
            <w:pPr>
              <w:pStyle w:val="Normal"/>
            </w:pPr>
            <w:r>
              <w:rPr>
                <w:b w:val="0"/>
                <w:bCs w:val="0"/>
                <w:i w:val="0"/>
                <w:iCs w:val="0"/>
              </w:rPr>
              <w:t>loan_amnt</w:t>
            </w:r>
          </w:p>
        </w:tc>
        <w:tc>
          <w:tcPr>
            <w:cnfStyle w:val="000000000000" w:firstRow="0" w:lastRow="0" w:firstColumn="0" w:lastColumn="0" w:oddVBand="0" w:evenVBand="0" w:oddHBand="0" w:evenHBand="0" w:firstRowFirstColumn="0" w:firstRowLastColumn="0" w:lastRowFirstColumn="0" w:lastRowLastColumn="0"/>
            <w:tcW w:w="2205" w:type="dxa"/>
            <w:tcMar/>
          </w:tcPr>
          <w:p w:rsidR="467B5343" w:rsidP="70241225" w:rsidRDefault="467B5343" w14:paraId="11AC6273" w14:textId="52E7E612">
            <w:pPr>
              <w:pStyle w:val="Normal"/>
            </w:pPr>
            <w:r>
              <w:rPr>
                <w:b w:val="0"/>
                <w:bCs w:val="0"/>
                <w:i w:val="0"/>
                <w:iCs w:val="0"/>
              </w:rPr>
              <w:t>Numerical</w:t>
            </w:r>
          </w:p>
        </w:tc>
        <w:tc>
          <w:tcPr>
            <w:cnfStyle w:val="000000000000" w:firstRow="0" w:lastRow="0" w:firstColumn="0" w:lastColumn="0" w:oddVBand="0" w:evenVBand="0" w:oddHBand="0" w:evenHBand="0" w:firstRowFirstColumn="0" w:firstRowLastColumn="0" w:lastRowFirstColumn="0" w:lastRowLastColumn="0"/>
            <w:tcW w:w="6255" w:type="dxa"/>
            <w:tcMar/>
          </w:tcPr>
          <w:p w:rsidR="285A0B7C" w:rsidP="70241225" w:rsidRDefault="285A0B7C" w14:paraId="78490119" w14:textId="77A766D3">
            <w:pPr>
              <w:pStyle w:val="Normal"/>
            </w:pPr>
            <w:r>
              <w:rPr>
                <w:b w:val="0"/>
                <w:bCs w:val="0"/>
                <w:i w:val="0"/>
                <w:iCs w:val="0"/>
              </w:rPr>
              <w:t>Amount borrowed in USD</w:t>
            </w:r>
          </w:p>
        </w:tc>
      </w:tr>
      <w:tr w:rsidR="70241225" w:rsidTr="677AD3B0" w14:paraId="5587CEEA">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3E29C0E4" w14:textId="661A4A04">
            <w:pPr>
              <w:pStyle w:val="Normal"/>
            </w:pPr>
            <w:r>
              <w:rPr>
                <w:b w:val="0"/>
                <w:bCs w:val="0"/>
                <w:i w:val="0"/>
                <w:iCs w:val="0"/>
              </w:rPr>
              <w:t>fico_n</w:t>
            </w:r>
          </w:p>
        </w:tc>
        <w:tc>
          <w:tcPr>
            <w:cnfStyle w:val="000000000000" w:firstRow="0" w:lastRow="0" w:firstColumn="0" w:lastColumn="0" w:oddVBand="0" w:evenVBand="0" w:oddHBand="0" w:evenHBand="0" w:firstRowFirstColumn="0" w:firstRowLastColumn="0" w:lastRowFirstColumn="0" w:lastRowLastColumn="0"/>
            <w:tcW w:w="2205" w:type="dxa"/>
            <w:tcMar/>
          </w:tcPr>
          <w:p w:rsidR="00A2789A" w:rsidP="70241225" w:rsidRDefault="00A2789A" w14:paraId="3A3541CA" w14:textId="6FD237E6">
            <w:pPr>
              <w:pStyle w:val="Normal"/>
            </w:pPr>
            <w:r>
              <w:rPr>
                <w:b w:val="0"/>
                <w:bCs w:val="0"/>
                <w:i w:val="0"/>
                <w:iCs w:val="0"/>
              </w:rPr>
              <w:t>Numerical</w:t>
            </w:r>
          </w:p>
        </w:tc>
        <w:tc>
          <w:tcPr>
            <w:cnfStyle w:val="000000000000" w:firstRow="0" w:lastRow="0" w:firstColumn="0" w:lastColumn="0" w:oddVBand="0" w:evenVBand="0" w:oddHBand="0" w:evenHBand="0" w:firstRowFirstColumn="0" w:firstRowLastColumn="0" w:lastRowFirstColumn="0" w:lastRowLastColumn="0"/>
            <w:tcW w:w="6255" w:type="dxa"/>
            <w:tcMar/>
          </w:tcPr>
          <w:p w:rsidR="37BF0B37" w:rsidP="70241225" w:rsidRDefault="37BF0B37" w14:paraId="0DDFC5A9" w14:textId="0FFF3B40">
            <w:pPr>
              <w:pStyle w:val="Normal"/>
            </w:pPr>
            <w:r>
              <w:rPr>
                <w:b w:val="0"/>
                <w:bCs w:val="0"/>
                <w:i w:val="0"/>
                <w:iCs w:val="0"/>
              </w:rPr>
              <w:t>Borrower’s FICO score</w:t>
            </w:r>
          </w:p>
        </w:tc>
      </w:tr>
      <w:tr w:rsidR="70241225" w:rsidTr="677AD3B0" w14:paraId="2356338D">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2F021504" w14:textId="114056C6">
            <w:pPr>
              <w:pStyle w:val="Normal"/>
            </w:pPr>
            <w:r>
              <w:rPr>
                <w:b w:val="0"/>
                <w:bCs w:val="0"/>
                <w:i w:val="0"/>
                <w:iCs w:val="0"/>
              </w:rPr>
              <w:t>experience_c</w:t>
            </w:r>
          </w:p>
        </w:tc>
        <w:tc>
          <w:tcPr>
            <w:cnfStyle w:val="000000000000" w:firstRow="0" w:lastRow="0" w:firstColumn="0" w:lastColumn="0" w:oddVBand="0" w:evenVBand="0" w:oddHBand="0" w:evenHBand="0" w:firstRowFirstColumn="0" w:firstRowLastColumn="0" w:lastRowFirstColumn="0" w:lastRowLastColumn="0"/>
            <w:tcW w:w="2205" w:type="dxa"/>
            <w:tcMar/>
          </w:tcPr>
          <w:p w:rsidR="13241824" w:rsidP="70241225" w:rsidRDefault="13241824" w14:paraId="2CB81714" w14:textId="76D84A60">
            <w:pPr>
              <w:pStyle w:val="Normal"/>
              <w:suppressLineNumbers w:val="0"/>
              <w:bidi w:val="0"/>
              <w:spacing w:before="0" w:beforeAutospacing="off" w:after="0" w:afterAutospacing="off" w:line="240" w:lineRule="auto"/>
              <w:ind w:left="0" w:right="0"/>
              <w:jc w:val="left"/>
            </w:pPr>
            <w:r>
              <w:rPr>
                <w:b w:val="0"/>
                <w:bCs w:val="0"/>
                <w:i w:val="0"/>
                <w:iCs w:val="0"/>
              </w:rPr>
              <w:t>Boolean</w:t>
            </w:r>
          </w:p>
        </w:tc>
        <w:tc>
          <w:tcPr>
            <w:cnfStyle w:val="000000000000" w:firstRow="0" w:lastRow="0" w:firstColumn="0" w:lastColumn="0" w:oddVBand="0" w:evenVBand="0" w:oddHBand="0" w:evenHBand="0" w:firstRowFirstColumn="0" w:firstRowLastColumn="0" w:lastRowFirstColumn="0" w:lastRowLastColumn="0"/>
            <w:tcW w:w="6255" w:type="dxa"/>
            <w:tcMar/>
          </w:tcPr>
          <w:p w:rsidR="16862161" w:rsidP="70241225" w:rsidRDefault="16862161" w14:paraId="7E75FBAA" w14:textId="67512377">
            <w:pPr>
              <w:pStyle w:val="Normal"/>
            </w:pPr>
            <w:r>
              <w:rPr>
                <w:b w:val="0"/>
                <w:bCs w:val="0"/>
                <w:i w:val="0"/>
                <w:iCs w:val="0"/>
              </w:rPr>
              <w:t>Whether the borrower has existing loans with the entity or not (0 = no, 1 = yes)</w:t>
            </w:r>
          </w:p>
        </w:tc>
      </w:tr>
      <w:tr w:rsidR="70241225" w:rsidTr="677AD3B0" w14:paraId="756171AF">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133E0EBC" w14:textId="086B404A">
            <w:pPr>
              <w:pStyle w:val="Normal"/>
            </w:pPr>
            <w:r>
              <w:rPr>
                <w:b w:val="0"/>
                <w:bCs w:val="0"/>
                <w:i w:val="0"/>
                <w:iCs w:val="0"/>
              </w:rPr>
              <w:t>emp_length</w:t>
            </w:r>
          </w:p>
        </w:tc>
        <w:tc>
          <w:tcPr>
            <w:cnfStyle w:val="000000000000" w:firstRow="0" w:lastRow="0" w:firstColumn="0" w:lastColumn="0" w:oddVBand="0" w:evenVBand="0" w:oddHBand="0" w:evenHBand="0" w:firstRowFirstColumn="0" w:firstRowLastColumn="0" w:lastRowFirstColumn="0" w:lastRowLastColumn="0"/>
            <w:tcW w:w="2205" w:type="dxa"/>
            <w:tcMar/>
          </w:tcPr>
          <w:p w:rsidR="52DB8D7C" w:rsidP="70241225" w:rsidRDefault="52DB8D7C" w14:paraId="12D9A4CA" w14:textId="37AB4796">
            <w:pPr>
              <w:pStyle w:val="Normal"/>
            </w:pPr>
            <w:r>
              <w:rPr>
                <w:b w:val="0"/>
                <w:bCs w:val="0"/>
                <w:i w:val="0"/>
                <w:iCs w:val="0"/>
              </w:rPr>
              <w:t>Ordinal</w:t>
            </w:r>
          </w:p>
        </w:tc>
        <w:tc>
          <w:tcPr>
            <w:cnfStyle w:val="000000000000" w:firstRow="0" w:lastRow="0" w:firstColumn="0" w:lastColumn="0" w:oddVBand="0" w:evenVBand="0" w:oddHBand="0" w:evenHBand="0" w:firstRowFirstColumn="0" w:firstRowLastColumn="0" w:lastRowFirstColumn="0" w:lastRowLastColumn="0"/>
            <w:tcW w:w="6255" w:type="dxa"/>
            <w:tcMar/>
          </w:tcPr>
          <w:p w:rsidR="2F0DF463" w:rsidP="70241225" w:rsidRDefault="2F0DF463" w14:paraId="463BBA1A" w14:textId="2F93C3D3">
            <w:pPr>
              <w:pStyle w:val="Normal"/>
            </w:pPr>
            <w:r>
              <w:rPr>
                <w:b w:val="0"/>
                <w:bCs w:val="0"/>
                <w:i w:val="0"/>
                <w:iCs w:val="0"/>
              </w:rPr>
              <w:t>Employment length in years (NI = no information)</w:t>
            </w:r>
          </w:p>
        </w:tc>
      </w:tr>
      <w:tr w:rsidR="70241225" w:rsidTr="677AD3B0" w14:paraId="2EA6565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5C966154" w14:textId="31B35324">
            <w:pPr>
              <w:pStyle w:val="Normal"/>
            </w:pPr>
            <w:r>
              <w:rPr>
                <w:b w:val="0"/>
                <w:bCs w:val="0"/>
                <w:i w:val="0"/>
                <w:iCs w:val="0"/>
              </w:rPr>
              <w:t>purpose</w:t>
            </w:r>
          </w:p>
        </w:tc>
        <w:tc>
          <w:tcPr>
            <w:cnfStyle w:val="000000000000" w:firstRow="0" w:lastRow="0" w:firstColumn="0" w:lastColumn="0" w:oddVBand="0" w:evenVBand="0" w:oddHBand="0" w:evenHBand="0" w:firstRowFirstColumn="0" w:firstRowLastColumn="0" w:lastRowFirstColumn="0" w:lastRowLastColumn="0"/>
            <w:tcW w:w="2205" w:type="dxa"/>
            <w:tcMar/>
          </w:tcPr>
          <w:p w:rsidR="13F635C0" w:rsidP="70241225" w:rsidRDefault="13F635C0" w14:paraId="01D8852C" w14:textId="06982137">
            <w:pPr>
              <w:pStyle w:val="Normal"/>
            </w:pPr>
            <w:r>
              <w:rPr>
                <w:b w:val="0"/>
                <w:bCs w:val="0"/>
                <w:i w:val="0"/>
                <w:iCs w:val="0"/>
              </w:rPr>
              <w:t>Categorical</w:t>
            </w:r>
          </w:p>
        </w:tc>
        <w:tc>
          <w:tcPr>
            <w:cnfStyle w:val="000000000000" w:firstRow="0" w:lastRow="0" w:firstColumn="0" w:lastColumn="0" w:oddVBand="0" w:evenVBand="0" w:oddHBand="0" w:evenHBand="0" w:firstRowFirstColumn="0" w:firstRowLastColumn="0" w:lastRowFirstColumn="0" w:lastRowLastColumn="0"/>
            <w:tcW w:w="6255" w:type="dxa"/>
            <w:tcMar/>
          </w:tcPr>
          <w:p w:rsidR="0CC1874F" w:rsidP="70241225" w:rsidRDefault="0CC1874F" w14:paraId="6A6DC605" w14:textId="55EC2799">
            <w:pPr>
              <w:pStyle w:val="Normal"/>
            </w:pPr>
            <w:r>
              <w:rPr>
                <w:b w:val="0"/>
                <w:bCs w:val="0"/>
                <w:i w:val="0"/>
                <w:iCs w:val="0"/>
              </w:rPr>
              <w:t>Funding purpose of the loan</w:t>
            </w:r>
          </w:p>
        </w:tc>
      </w:tr>
      <w:tr w:rsidR="70241225" w:rsidTr="677AD3B0" w14:paraId="6BE02EF8">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5CC45F24" w14:textId="2A6C8041">
            <w:pPr>
              <w:pStyle w:val="Normal"/>
              <w:rPr>
                <w:b w:val="0"/>
                <w:bCs w:val="0"/>
                <w:i w:val="1"/>
                <w:iCs w:val="1"/>
              </w:rPr>
            </w:pPr>
            <w:r>
              <w:rPr>
                <w:b w:val="0"/>
                <w:bCs w:val="0"/>
                <w:i w:val="0"/>
                <w:iCs w:val="0"/>
              </w:rPr>
              <w:t>home_ownership_n</w:t>
            </w:r>
          </w:p>
        </w:tc>
        <w:tc>
          <w:tcPr>
            <w:cnfStyle w:val="000000000000" w:firstRow="0" w:lastRow="0" w:firstColumn="0" w:lastColumn="0" w:oddVBand="0" w:evenVBand="0" w:oddHBand="0" w:evenHBand="0" w:firstRowFirstColumn="0" w:firstRowLastColumn="0" w:lastRowFirstColumn="0" w:lastRowLastColumn="0"/>
            <w:tcW w:w="2205" w:type="dxa"/>
            <w:tcMar/>
          </w:tcPr>
          <w:p w:rsidR="1884AA64" w:rsidP="70241225" w:rsidRDefault="1884AA64" w14:paraId="1F02114D" w14:textId="2C3219D0">
            <w:pPr>
              <w:pStyle w:val="Normal"/>
            </w:pPr>
            <w:r>
              <w:rPr>
                <w:b w:val="0"/>
                <w:bCs w:val="0"/>
                <w:i w:val="0"/>
                <w:iCs w:val="0"/>
              </w:rPr>
              <w:t>Categorical</w:t>
            </w:r>
          </w:p>
        </w:tc>
        <w:tc>
          <w:tcPr>
            <w:cnfStyle w:val="000000000000" w:firstRow="0" w:lastRow="0" w:firstColumn="0" w:lastColumn="0" w:oddVBand="0" w:evenVBand="0" w:oddHBand="0" w:evenHBand="0" w:firstRowFirstColumn="0" w:firstRowLastColumn="0" w:lastRowFirstColumn="0" w:lastRowLastColumn="0"/>
            <w:tcW w:w="6255" w:type="dxa"/>
            <w:tcMar/>
          </w:tcPr>
          <w:p w:rsidR="115BB397" w:rsidP="70241225" w:rsidRDefault="115BB397" w14:paraId="0F308E6A" w14:textId="10E2AEEC">
            <w:pPr>
              <w:pStyle w:val="Normal"/>
            </w:pPr>
            <w:r>
              <w:rPr>
                <w:b w:val="0"/>
                <w:bCs w:val="0"/>
                <w:i w:val="0"/>
                <w:iCs w:val="0"/>
              </w:rPr>
              <w:t>Home ownership status: mortgage, rent, own or other</w:t>
            </w:r>
          </w:p>
        </w:tc>
      </w:tr>
      <w:tr w:rsidR="70241225" w:rsidTr="677AD3B0" w14:paraId="7B2826B4">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14388296" w14:textId="7C0D93F3">
            <w:pPr>
              <w:pStyle w:val="Normal"/>
            </w:pPr>
            <w:r>
              <w:rPr>
                <w:b w:val="0"/>
                <w:bCs w:val="0"/>
                <w:i w:val="0"/>
                <w:iCs w:val="0"/>
              </w:rPr>
              <w:t>addr_state</w:t>
            </w:r>
          </w:p>
        </w:tc>
        <w:tc>
          <w:tcPr>
            <w:cnfStyle w:val="000000000000" w:firstRow="0" w:lastRow="0" w:firstColumn="0" w:lastColumn="0" w:oddVBand="0" w:evenVBand="0" w:oddHBand="0" w:evenHBand="0" w:firstRowFirstColumn="0" w:firstRowLastColumn="0" w:lastRowFirstColumn="0" w:lastRowLastColumn="0"/>
            <w:tcW w:w="2205" w:type="dxa"/>
            <w:tcMar/>
          </w:tcPr>
          <w:p w:rsidR="5446FF31" w:rsidP="70241225" w:rsidRDefault="5446FF31" w14:paraId="0FDEA886" w14:textId="1F12EE93">
            <w:pPr>
              <w:pStyle w:val="Normal"/>
            </w:pPr>
            <w:r>
              <w:rPr>
                <w:b w:val="0"/>
                <w:bCs w:val="0"/>
                <w:i w:val="0"/>
                <w:iCs w:val="0"/>
              </w:rPr>
              <w:t>Categorical</w:t>
            </w:r>
          </w:p>
        </w:tc>
        <w:tc>
          <w:tcPr>
            <w:cnfStyle w:val="000000000000" w:firstRow="0" w:lastRow="0" w:firstColumn="0" w:lastColumn="0" w:oddVBand="0" w:evenVBand="0" w:oddHBand="0" w:evenHBand="0" w:firstRowFirstColumn="0" w:firstRowLastColumn="0" w:lastRowFirstColumn="0" w:lastRowLastColumn="0"/>
            <w:tcW w:w="6255" w:type="dxa"/>
            <w:tcMar/>
          </w:tcPr>
          <w:p w:rsidR="1E59DBED" w:rsidP="70241225" w:rsidRDefault="1E59DBED" w14:paraId="6FCA1B1C" w14:textId="6A4BF450">
            <w:pPr>
              <w:pStyle w:val="Normal"/>
            </w:pPr>
            <w:r>
              <w:rPr>
                <w:b w:val="0"/>
                <w:bCs w:val="0"/>
                <w:i w:val="0"/>
                <w:iCs w:val="0"/>
              </w:rPr>
              <w:t>Borrower’s state code</w:t>
            </w:r>
          </w:p>
        </w:tc>
      </w:tr>
      <w:tr w:rsidR="70241225" w:rsidTr="677AD3B0" w14:paraId="528912F4">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6F7B5C1F" w:rsidP="70241225" w:rsidRDefault="6F7B5C1F" w14:paraId="467126EF" w14:textId="0B298652">
            <w:pPr>
              <w:pStyle w:val="Normal"/>
            </w:pPr>
            <w:r>
              <w:rPr>
                <w:b w:val="0"/>
                <w:bCs w:val="0"/>
                <w:i w:val="0"/>
                <w:iCs w:val="0"/>
              </w:rPr>
              <w:t>zip_code</w:t>
            </w:r>
          </w:p>
        </w:tc>
        <w:tc>
          <w:tcPr>
            <w:cnfStyle w:val="000000000000" w:firstRow="0" w:lastRow="0" w:firstColumn="0" w:lastColumn="0" w:oddVBand="0" w:evenVBand="0" w:oddHBand="0" w:evenHBand="0" w:firstRowFirstColumn="0" w:firstRowLastColumn="0" w:lastRowFirstColumn="0" w:lastRowLastColumn="0"/>
            <w:tcW w:w="2205" w:type="dxa"/>
            <w:tcMar/>
          </w:tcPr>
          <w:p w:rsidR="78E4D80D" w:rsidP="70241225" w:rsidRDefault="78E4D80D" w14:paraId="31351A65" w14:textId="6B64F9E5">
            <w:pPr>
              <w:pStyle w:val="Normal"/>
            </w:pPr>
            <w:r>
              <w:rPr>
                <w:b w:val="0"/>
                <w:bCs w:val="0"/>
                <w:i w:val="0"/>
                <w:iCs w:val="0"/>
              </w:rPr>
              <w:t>Categorical</w:t>
            </w:r>
          </w:p>
        </w:tc>
        <w:tc>
          <w:tcPr>
            <w:cnfStyle w:val="000000000000" w:firstRow="0" w:lastRow="0" w:firstColumn="0" w:lastColumn="0" w:oddVBand="0" w:evenVBand="0" w:oddHBand="0" w:evenHBand="0" w:firstRowFirstColumn="0" w:firstRowLastColumn="0" w:lastRowFirstColumn="0" w:lastRowLastColumn="0"/>
            <w:tcW w:w="6255" w:type="dxa"/>
            <w:tcMar/>
          </w:tcPr>
          <w:p w:rsidR="695B5C57" w:rsidP="70241225" w:rsidRDefault="695B5C57" w14:paraId="685850EE" w14:textId="4005C978">
            <w:pPr>
              <w:pStyle w:val="Normal"/>
            </w:pPr>
            <w:r>
              <w:rPr>
                <w:b w:val="0"/>
                <w:bCs w:val="0"/>
                <w:i w:val="0"/>
                <w:iCs w:val="0"/>
              </w:rPr>
              <w:t>Borrower’s ZIP code (last two digits omitted)</w:t>
            </w:r>
          </w:p>
        </w:tc>
      </w:tr>
      <w:tr w:rsidR="70241225" w:rsidTr="677AD3B0" w14:paraId="37F4E098">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32F7F5F" w:rsidP="70241225" w:rsidRDefault="132F7F5F" w14:paraId="34083DED" w14:textId="28038400">
            <w:pPr>
              <w:pStyle w:val="Normal"/>
            </w:pPr>
            <w:r>
              <w:rPr>
                <w:b w:val="0"/>
                <w:bCs w:val="0"/>
                <w:i w:val="0"/>
                <w:iCs w:val="0"/>
              </w:rPr>
              <w:t>Default</w:t>
            </w:r>
          </w:p>
        </w:tc>
        <w:tc>
          <w:tcPr>
            <w:cnfStyle w:val="000000000000" w:firstRow="0" w:lastRow="0" w:firstColumn="0" w:lastColumn="0" w:oddVBand="0" w:evenVBand="0" w:oddHBand="0" w:evenHBand="0" w:firstRowFirstColumn="0" w:firstRowLastColumn="0" w:lastRowFirstColumn="0" w:lastRowLastColumn="0"/>
            <w:tcW w:w="2205" w:type="dxa"/>
            <w:tcMar/>
          </w:tcPr>
          <w:p w:rsidR="4625EBA7" w:rsidP="70241225" w:rsidRDefault="4625EBA7" w14:paraId="75B3175F" w14:textId="7A4C5808">
            <w:pPr>
              <w:pStyle w:val="Normal"/>
            </w:pPr>
            <w:r>
              <w:rPr>
                <w:b w:val="0"/>
                <w:bCs w:val="0"/>
                <w:i w:val="0"/>
                <w:iCs w:val="0"/>
              </w:rPr>
              <w:t>Boolean</w:t>
            </w:r>
          </w:p>
        </w:tc>
        <w:tc>
          <w:tcPr>
            <w:cnfStyle w:val="000000000000" w:firstRow="0" w:lastRow="0" w:firstColumn="0" w:lastColumn="0" w:oddVBand="0" w:evenVBand="0" w:oddHBand="0" w:evenHBand="0" w:firstRowFirstColumn="0" w:firstRowLastColumn="0" w:lastRowFirstColumn="0" w:lastRowLastColumn="0"/>
            <w:tcW w:w="6255" w:type="dxa"/>
            <w:tcMar/>
          </w:tcPr>
          <w:p w:rsidR="39DE0344" w:rsidP="70241225" w:rsidRDefault="39DE0344" w14:paraId="44B32A6E" w14:textId="3B07C8FC">
            <w:pPr>
              <w:pStyle w:val="Normal"/>
            </w:pPr>
            <w:r>
              <w:rPr>
                <w:b w:val="0"/>
                <w:bCs w:val="0"/>
                <w:i w:val="0"/>
                <w:iCs w:val="0"/>
              </w:rPr>
              <w:t>Whether the borrower defaulted or not (0 = no, 1 = default)</w:t>
            </w:r>
          </w:p>
        </w:tc>
      </w:tr>
      <w:tr w:rsidR="70241225" w:rsidTr="677AD3B0" w14:paraId="33FBE45A">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32F7F5F" w:rsidP="70241225" w:rsidRDefault="132F7F5F" w14:paraId="3A7D0FDF" w14:textId="718D50BE">
            <w:pPr>
              <w:pStyle w:val="Normal"/>
            </w:pPr>
            <w:r>
              <w:rPr>
                <w:b w:val="0"/>
                <w:bCs w:val="0"/>
                <w:i w:val="0"/>
                <w:iCs w:val="0"/>
              </w:rPr>
              <w:t>title</w:t>
            </w:r>
          </w:p>
        </w:tc>
        <w:tc>
          <w:tcPr>
            <w:cnfStyle w:val="000000000000" w:firstRow="0" w:lastRow="0" w:firstColumn="0" w:lastColumn="0" w:oddVBand="0" w:evenVBand="0" w:oddHBand="0" w:evenHBand="0" w:firstRowFirstColumn="0" w:firstRowLastColumn="0" w:lastRowFirstColumn="0" w:lastRowLastColumn="0"/>
            <w:tcW w:w="2205" w:type="dxa"/>
            <w:tcMar/>
          </w:tcPr>
          <w:p w:rsidR="56E21709" w:rsidP="70241225" w:rsidRDefault="56E21709" w14:paraId="534643D2" w14:textId="22EB1DFC">
            <w:pPr>
              <w:pStyle w:val="Normal"/>
            </w:pPr>
            <w:r>
              <w:rPr>
                <w:b w:val="0"/>
                <w:bCs w:val="0"/>
                <w:i w:val="0"/>
                <w:iCs w:val="0"/>
              </w:rPr>
              <w:t>Categorical</w:t>
            </w:r>
          </w:p>
        </w:tc>
        <w:tc>
          <w:tcPr>
            <w:cnfStyle w:val="000000000000" w:firstRow="0" w:lastRow="0" w:firstColumn="0" w:lastColumn="0" w:oddVBand="0" w:evenVBand="0" w:oddHBand="0" w:evenHBand="0" w:firstRowFirstColumn="0" w:firstRowLastColumn="0" w:lastRowFirstColumn="0" w:lastRowLastColumn="0"/>
            <w:tcW w:w="6255" w:type="dxa"/>
            <w:tcMar/>
          </w:tcPr>
          <w:p w:rsidR="390C2E4A" w:rsidP="70241225" w:rsidRDefault="390C2E4A" w14:paraId="51ED89C1" w14:textId="5DDC111E">
            <w:pPr>
              <w:pStyle w:val="Normal"/>
            </w:pPr>
            <w:r>
              <w:rPr>
                <w:b w:val="0"/>
                <w:bCs w:val="0"/>
                <w:i w:val="0"/>
                <w:iCs w:val="0"/>
              </w:rPr>
              <w:t>Title of the credit request description provided by the borrower</w:t>
            </w:r>
          </w:p>
        </w:tc>
      </w:tr>
      <w:tr w:rsidR="70241225" w:rsidTr="677AD3B0" w14:paraId="73EF9854">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132F7F5F" w:rsidP="70241225" w:rsidRDefault="132F7F5F" w14:paraId="4CDA7CF4" w14:textId="7463F0EC">
            <w:pPr>
              <w:pStyle w:val="Normal"/>
            </w:pPr>
            <w:r>
              <w:rPr>
                <w:b w:val="0"/>
                <w:bCs w:val="0"/>
                <w:i w:val="0"/>
                <w:iCs w:val="0"/>
              </w:rPr>
              <w:t>desc</w:t>
            </w:r>
          </w:p>
        </w:tc>
        <w:tc>
          <w:tcPr>
            <w:cnfStyle w:val="000000000000" w:firstRow="0" w:lastRow="0" w:firstColumn="0" w:lastColumn="0" w:oddVBand="0" w:evenVBand="0" w:oddHBand="0" w:evenHBand="0" w:firstRowFirstColumn="0" w:firstRowLastColumn="0" w:lastRowFirstColumn="0" w:lastRowLastColumn="0"/>
            <w:tcW w:w="2205" w:type="dxa"/>
            <w:tcMar/>
          </w:tcPr>
          <w:p w:rsidR="001C1033" w:rsidP="70241225" w:rsidRDefault="001C1033" w14:paraId="77A23705" w14:textId="0FB8FB3C">
            <w:pPr>
              <w:pStyle w:val="Normal"/>
            </w:pPr>
            <w:r>
              <w:rPr>
                <w:b w:val="0"/>
                <w:bCs w:val="0"/>
                <w:i w:val="0"/>
                <w:iCs w:val="0"/>
              </w:rPr>
              <w:t>Textual</w:t>
            </w:r>
          </w:p>
        </w:tc>
        <w:tc>
          <w:tcPr>
            <w:cnfStyle w:val="000000000000" w:firstRow="0" w:lastRow="0" w:firstColumn="0" w:lastColumn="0" w:oddVBand="0" w:evenVBand="0" w:oddHBand="0" w:evenHBand="0" w:firstRowFirstColumn="0" w:firstRowLastColumn="0" w:lastRowFirstColumn="0" w:lastRowLastColumn="0"/>
            <w:tcW w:w="6255" w:type="dxa"/>
            <w:tcMar/>
          </w:tcPr>
          <w:p w:rsidR="4DB9515D" w:rsidP="70241225" w:rsidRDefault="4DB9515D" w14:paraId="77BD3955" w14:textId="16DCCE2F">
            <w:pPr>
              <w:pStyle w:val="Normal"/>
            </w:pPr>
            <w:r>
              <w:rPr>
                <w:b w:val="0"/>
                <w:bCs w:val="0"/>
                <w:i w:val="0"/>
                <w:iCs w:val="0"/>
              </w:rPr>
              <w:t>Description of the credit request</w:t>
            </w:r>
          </w:p>
        </w:tc>
      </w:tr>
    </w:tbl>
    <w:p w:rsidR="677AD3B0" w:rsidP="677AD3B0" w:rsidRDefault="677AD3B0" w14:paraId="66109181" w14:textId="0CC7B3C4">
      <w:pPr>
        <w:pStyle w:val="Normal"/>
        <w:jc w:val="both"/>
        <w:rPr>
          <w:b w:val="0"/>
          <w:bCs w:val="0"/>
          <w:i w:val="0"/>
          <w:iCs w:val="0"/>
        </w:rPr>
      </w:pPr>
    </w:p>
    <w:p w:rsidR="1376F5B8" w:rsidP="677AD3B0" w:rsidRDefault="1376F5B8" w14:paraId="47F51CC9" w14:textId="43815979">
      <w:pPr>
        <w:pStyle w:val="Normal"/>
        <w:suppressLineNumbers w:val="0"/>
        <w:bidi w:val="0"/>
        <w:spacing w:before="0" w:beforeAutospacing="off" w:after="160" w:afterAutospacing="off" w:line="279" w:lineRule="auto"/>
        <w:ind/>
        <w:jc w:val="both"/>
      </w:pPr>
      <w:r>
        <w:rPr>
          <w:b w:val="0"/>
          <w:bCs w:val="0"/>
          <w:i w:val="0"/>
          <w:iCs w:val="0"/>
        </w:rPr>
        <w:t>The following variables were initially dropped for the regression for the following reasons:</w:t>
      </w:r>
    </w:p>
    <w:tbl>
      <w:tblPr>
        <w:tblStyle w:val="GridTable4-Accent1"/>
        <w:bidiVisual w:val="0"/>
        <w:tblW w:w="0" w:type="auto"/>
        <w:tblLook w:val="06A0" w:firstRow="1" w:lastRow="0" w:firstColumn="1" w:lastColumn="0" w:noHBand="1" w:noVBand="1"/>
      </w:tblPr>
      <w:tblGrid>
        <w:gridCol w:w="1815"/>
        <w:gridCol w:w="8985"/>
      </w:tblGrid>
      <w:tr w:rsidR="70241225" w:rsidTr="5A704AC6" w14:paraId="28788AD8">
        <w:trPr>
          <w:trHeight w:val="300"/>
        </w:trPr>
        <w:tc>
          <w:tcPr>
            <w:cnfStyle w:val="001000000000" w:firstRow="0" w:lastRow="0" w:firstColumn="1" w:lastColumn="0" w:oddVBand="0" w:evenVBand="0" w:oddHBand="0" w:evenHBand="0" w:firstRowFirstColumn="0" w:firstRowLastColumn="0" w:lastRowFirstColumn="0" w:lastRowLastColumn="0"/>
            <w:tcW w:w="1815" w:type="dxa"/>
            <w:tcMar/>
          </w:tcPr>
          <w:p w:rsidR="4D1783DA" w:rsidP="70241225" w:rsidRDefault="4D1783DA" w14:paraId="3D35E487" w14:textId="0718C60E">
            <w:pPr>
              <w:pStyle w:val="Normal"/>
              <w:bidi w:val="0"/>
              <w:rPr>
                <w:b w:val="0"/>
                <w:bCs w:val="0"/>
                <w:i w:val="1"/>
                <w:iCs w:val="1"/>
              </w:rPr>
            </w:pPr>
            <w:r>
              <w:rPr>
                <w:b w:val="0"/>
                <w:bCs w:val="0"/>
                <w:i w:val="1"/>
                <w:iCs w:val="1"/>
              </w:rPr>
              <w:t>Variable Name</w:t>
            </w:r>
          </w:p>
        </w:tc>
        <w:tc>
          <w:tcPr>
            <w:cnfStyle w:val="000000000000" w:firstRow="0" w:lastRow="0" w:firstColumn="0" w:lastColumn="0" w:oddVBand="0" w:evenVBand="0" w:oddHBand="0" w:evenHBand="0" w:firstRowFirstColumn="0" w:firstRowLastColumn="0" w:lastRowFirstColumn="0" w:lastRowLastColumn="0"/>
            <w:tcW w:w="8985" w:type="dxa"/>
            <w:tcMar/>
          </w:tcPr>
          <w:p w:rsidR="4D1783DA" w:rsidP="70241225" w:rsidRDefault="4D1783DA" w14:paraId="5B6F48C5" w14:textId="6FBAF426">
            <w:pPr>
              <w:pStyle w:val="Normal"/>
              <w:bidi w:val="0"/>
              <w:rPr>
                <w:b w:val="0"/>
                <w:bCs w:val="0"/>
                <w:i w:val="1"/>
                <w:iCs w:val="1"/>
              </w:rPr>
            </w:pPr>
            <w:r>
              <w:rPr>
                <w:b w:val="0"/>
                <w:bCs w:val="0"/>
                <w:i w:val="1"/>
                <w:iCs w:val="1"/>
              </w:rPr>
              <w:t>Reason for Dropping</w:t>
            </w:r>
          </w:p>
        </w:tc>
      </w:tr>
      <w:tr w:rsidR="70241225" w:rsidTr="5A704AC6" w14:paraId="2C8E395D">
        <w:trPr>
          <w:trHeight w:val="300"/>
        </w:trPr>
        <w:tc>
          <w:tcPr>
            <w:cnfStyle w:val="001000000000" w:firstRow="0" w:lastRow="0" w:firstColumn="1" w:lastColumn="0" w:oddVBand="0" w:evenVBand="0" w:oddHBand="0" w:evenHBand="0" w:firstRowFirstColumn="0" w:firstRowLastColumn="0" w:lastRowFirstColumn="0" w:lastRowLastColumn="0"/>
            <w:tcW w:w="1815" w:type="dxa"/>
            <w:tcMar/>
          </w:tcPr>
          <w:p w:rsidR="4D1783DA" w:rsidP="70241225" w:rsidRDefault="4D1783DA" w14:paraId="0930BD65" w14:textId="36538A08">
            <w:pPr>
              <w:pStyle w:val="Normal"/>
            </w:pPr>
            <w:r>
              <w:rPr>
                <w:b w:val="0"/>
                <w:bCs w:val="0"/>
                <w:i w:val="0"/>
                <w:iCs w:val="0"/>
              </w:rPr>
              <w:t>id</w:t>
            </w:r>
          </w:p>
        </w:tc>
        <w:tc>
          <w:tcPr>
            <w:cnfStyle w:val="000000000000" w:firstRow="0" w:lastRow="0" w:firstColumn="0" w:lastColumn="0" w:oddVBand="0" w:evenVBand="0" w:oddHBand="0" w:evenHBand="0" w:firstRowFirstColumn="0" w:firstRowLastColumn="0" w:lastRowFirstColumn="0" w:lastRowLastColumn="0"/>
            <w:tcW w:w="8985" w:type="dxa"/>
            <w:tcMar/>
          </w:tcPr>
          <w:p w:rsidR="4D1783DA" w:rsidP="70241225" w:rsidRDefault="4D1783DA" w14:paraId="3733473E" w14:textId="30012E1E">
            <w:pPr>
              <w:pStyle w:val="Normal"/>
              <w:suppressLineNumbers w:val="0"/>
              <w:bidi w:val="0"/>
              <w:rPr>
                <w:b w:val="0"/>
                <w:bCs w:val="0"/>
                <w:i w:val="0"/>
                <w:iCs w:val="0"/>
              </w:rPr>
            </w:pPr>
            <w:r>
              <w:rPr>
                <w:b w:val="0"/>
                <w:bCs w:val="0"/>
                <w:i w:val="0"/>
                <w:iCs w:val="0"/>
              </w:rPr>
              <w:t>No relevance for default probability</w:t>
            </w:r>
          </w:p>
        </w:tc>
      </w:tr>
      <w:tr w:rsidR="70241225" w:rsidTr="5A704AC6" w14:paraId="702B8E9C">
        <w:trPr>
          <w:trHeight w:val="300"/>
        </w:trPr>
        <w:tc>
          <w:tcPr>
            <w:cnfStyle w:val="001000000000" w:firstRow="0" w:lastRow="0" w:firstColumn="1" w:lastColumn="0" w:oddVBand="0" w:evenVBand="0" w:oddHBand="0" w:evenHBand="0" w:firstRowFirstColumn="0" w:firstRowLastColumn="0" w:lastRowFirstColumn="0" w:lastRowLastColumn="0"/>
            <w:tcW w:w="1815" w:type="dxa"/>
            <w:tcMar/>
          </w:tcPr>
          <w:p w:rsidR="4D1783DA" w:rsidP="70241225" w:rsidRDefault="4D1783DA" w14:paraId="0ACDA251" w14:textId="38A273D7">
            <w:pPr>
              <w:pStyle w:val="Normal"/>
              <w:suppressLineNumbers w:val="0"/>
              <w:bidi w:val="0"/>
              <w:rPr>
                <w:b w:val="0"/>
                <w:bCs w:val="0"/>
                <w:i w:val="0"/>
                <w:iCs w:val="0"/>
              </w:rPr>
            </w:pPr>
            <w:r>
              <w:rPr>
                <w:b w:val="0"/>
                <w:bCs w:val="0"/>
                <w:i w:val="0"/>
                <w:iCs w:val="0"/>
              </w:rPr>
              <w:t>zip_code</w:t>
            </w:r>
          </w:p>
        </w:tc>
        <w:tc>
          <w:tcPr>
            <w:cnfStyle w:val="000000000000" w:firstRow="0" w:lastRow="0" w:firstColumn="0" w:lastColumn="0" w:oddVBand="0" w:evenVBand="0" w:oddHBand="0" w:evenHBand="0" w:firstRowFirstColumn="0" w:firstRowLastColumn="0" w:lastRowFirstColumn="0" w:lastRowLastColumn="0"/>
            <w:tcW w:w="8985" w:type="dxa"/>
            <w:tcMar/>
          </w:tcPr>
          <w:p w:rsidR="4D1783DA" w:rsidP="70241225" w:rsidRDefault="4D1783DA" w14:paraId="71E311F9" w14:textId="01371CF0">
            <w:pPr>
              <w:pStyle w:val="Normal"/>
              <w:suppressLineNumbers w:val="0"/>
              <w:bidi w:val="0"/>
              <w:rPr>
                <w:b w:val="0"/>
                <w:bCs w:val="0"/>
                <w:i w:val="0"/>
                <w:iCs w:val="0"/>
              </w:rPr>
            </w:pPr>
            <w:r>
              <w:rPr>
                <w:b w:val="0"/>
                <w:bCs w:val="0"/>
                <w:i w:val="0"/>
                <w:iCs w:val="0"/>
              </w:rPr>
              <w:t xml:space="preserve">Deemed too granular for address information: addr_state sufficient for building a model without overfitting to training data</w:t>
            </w:r>
          </w:p>
        </w:tc>
      </w:tr>
      <w:tr w:rsidR="70241225" w:rsidTr="5A704AC6" w14:paraId="7BAA159C">
        <w:trPr>
          <w:trHeight w:val="300"/>
        </w:trPr>
        <w:tc>
          <w:tcPr>
            <w:cnfStyle w:val="001000000000" w:firstRow="0" w:lastRow="0" w:firstColumn="1" w:lastColumn="0" w:oddVBand="0" w:evenVBand="0" w:oddHBand="0" w:evenHBand="0" w:firstRowFirstColumn="0" w:firstRowLastColumn="0" w:lastRowFirstColumn="0" w:lastRowLastColumn="0"/>
            <w:tcW w:w="1815" w:type="dxa"/>
            <w:tcMar/>
          </w:tcPr>
          <w:p w:rsidR="4D1783DA" w:rsidP="70241225" w:rsidRDefault="4D1783DA" w14:paraId="3247A09D" w14:textId="127A309F">
            <w:pPr>
              <w:pStyle w:val="Normal"/>
              <w:suppressLineNumbers w:val="0"/>
              <w:bidi w:val="0"/>
              <w:rPr>
                <w:b w:val="0"/>
                <w:bCs w:val="0"/>
                <w:i w:val="0"/>
                <w:iCs w:val="0"/>
              </w:rPr>
            </w:pPr>
            <w:r>
              <w:rPr>
                <w:b w:val="0"/>
                <w:bCs w:val="0"/>
                <w:i w:val="0"/>
                <w:iCs w:val="0"/>
              </w:rPr>
              <w:t>desc</w:t>
            </w:r>
          </w:p>
        </w:tc>
        <w:tc>
          <w:tcPr>
            <w:cnfStyle w:val="000000000000" w:firstRow="0" w:lastRow="0" w:firstColumn="0" w:lastColumn="0" w:oddVBand="0" w:evenVBand="0" w:oddHBand="0" w:evenHBand="0" w:firstRowFirstColumn="0" w:firstRowLastColumn="0" w:lastRowFirstColumn="0" w:lastRowLastColumn="0"/>
            <w:tcW w:w="8985" w:type="dxa"/>
            <w:tcMar/>
          </w:tcPr>
          <w:p w:rsidR="4D1783DA" w:rsidP="70241225" w:rsidRDefault="4D1783DA" w14:paraId="3F0CE386" w14:textId="21ABFA4C">
            <w:pPr>
              <w:pStyle w:val="Normal"/>
              <w:suppressLineNumbers w:val="0"/>
              <w:bidi w:val="0"/>
              <w:spacing w:before="0" w:beforeAutospacing="off" w:after="160" w:afterAutospacing="off" w:line="279" w:lineRule="auto"/>
              <w:ind w:left="0" w:right="0"/>
              <w:jc w:val="left"/>
              <w:rPr>
                <w:b w:val="0"/>
                <w:bCs w:val="0"/>
                <w:i w:val="0"/>
                <w:iCs w:val="0"/>
              </w:rPr>
            </w:pPr>
            <w:r>
              <w:rPr>
                <w:b w:val="0"/>
                <w:bCs w:val="0"/>
                <w:i w:val="0"/>
                <w:iCs w:val="0"/>
              </w:rPr>
              <w:t>Insufficient data: only 119099/1347681 = 8.8% of entries were non-null.</w:t>
            </w:r>
          </w:p>
        </w:tc>
      </w:tr>
    </w:tbl>
    <w:p w:rsidR="5A704AC6" w:rsidP="5A704AC6" w:rsidRDefault="5A704AC6" w14:paraId="58487AC7" w14:textId="0ACF63F1">
      <w:pPr>
        <w:pStyle w:val="Normal"/>
        <w:suppressLineNumbers w:val="0"/>
        <w:bidi w:val="0"/>
        <w:spacing w:before="0" w:beforeAutospacing="off" w:after="160" w:afterAutospacing="off" w:line="279" w:lineRule="auto"/>
        <w:ind w:left="0" w:right="0"/>
        <w:jc w:val="both"/>
        <w:rPr>
          <w:b w:val="0"/>
          <w:bCs w:val="0"/>
          <w:i w:val="0"/>
          <w:iCs w:val="0"/>
        </w:rPr>
      </w:pPr>
    </w:p>
    <w:p w:rsidR="7ECC2735" w:rsidP="677AD3B0" w:rsidRDefault="7ECC2735" w14:paraId="46F549E4" w14:textId="0D197993">
      <w:pPr>
        <w:pStyle w:val="Normal"/>
        <w:suppressLineNumbers w:val="0"/>
        <w:spacing w:before="0" w:beforeAutospacing="off" w:after="160" w:afterAutospacing="off" w:line="279" w:lineRule="auto"/>
        <w:ind w:left="0" w:right="0"/>
        <w:jc w:val="both"/>
      </w:pPr>
      <w:r>
        <w:rPr>
          <w:b w:val="0"/>
          <w:bCs w:val="0"/>
          <w:i w:val="0"/>
          <w:iCs w:val="0"/>
        </w:rPr>
        <w:t xml:space="preserve">From the remaining variables, information values were calculated from weight-of-evidence scores with different numbers of percentile bins tested for the continuous variables. The results are presented in the charts below:</w:t>
      </w:r>
    </w:p>
    <w:p w:rsidR="70241225" w:rsidP="70241225" w:rsidRDefault="70241225" w14:paraId="2CC4A4AF" w14:textId="3A1D813D">
      <w:pPr>
        <w:pStyle w:val="Normal"/>
        <w:suppressLineNumbers w:val="0"/>
        <w:bidi w:val="0"/>
        <w:spacing w:before="0" w:beforeAutospacing="off" w:after="160" w:afterAutospacing="off" w:line="279" w:lineRule="auto"/>
        <w:ind w:left="0" w:right="0"/>
        <w:jc w:val="both"/>
      </w:pPr>
      <w:r>
        <w:drawing>
          <wp:inline wp14:editId="5DC9FD58" wp14:anchorId="2D5BD88F">
            <wp:extent cx="6600000" cy="5076204"/>
            <wp:effectExtent l="0" t="0" r="0" b="0"/>
            <wp:docPr id="1812727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913942" name="Picture 792913942"/>
                    <pic:cNvPicPr/>
                  </pic:nvPicPr>
                  <pic:blipFill>
                    <a:blip xmlns:r="http://schemas.openxmlformats.org/officeDocument/2006/relationships" r:embed="rId1055355257">
                      <a:extLst>
                        <a:ext uri="{28A0092B-C50C-407E-A947-70E740481C1C}">
                          <a14:useLocalDpi xmlns:a14="http://schemas.microsoft.com/office/drawing/2010/main"/>
                        </a:ext>
                      </a:extLst>
                    </a:blip>
                    <a:stretch>
                      <a:fillRect/>
                    </a:stretch>
                  </pic:blipFill>
                  <pic:spPr>
                    <a:xfrm>
                      <a:off x="0" y="0"/>
                      <a:ext cx="6600000" cy="5076204"/>
                    </a:xfrm>
                    <a:prstGeom prst="rect">
                      <a:avLst/>
                    </a:prstGeom>
                  </pic:spPr>
                </pic:pic>
              </a:graphicData>
            </a:graphic>
          </wp:inline>
        </w:drawing>
      </w:r>
    </w:p>
    <w:p w:rsidR="70241225" w:rsidP="70241225" w:rsidRDefault="70241225" w14:paraId="2FDB106A" w14:textId="2A126BD2">
      <w:pPr>
        <w:pStyle w:val="Normal"/>
        <w:suppressLineNumbers w:val="0"/>
        <w:bidi w:val="0"/>
        <w:spacing w:before="0" w:beforeAutospacing="off" w:after="160" w:afterAutospacing="off" w:line="279" w:lineRule="auto"/>
        <w:ind w:left="0" w:right="0"/>
        <w:jc w:val="both"/>
      </w:pPr>
      <w:r>
        <w:drawing>
          <wp:inline distT="0" distB="0" distL="0" distR="0">
            <wp:extent cx="6543675" cy="4972050"/>
            <wp:effectExtent l="0" t="0" r="0" b="0"/>
            <wp:docPr id="2056649245" name="drawing"/>
            <wp:cNvGraphicFramePr>
              <a:graphicFrameLocks noChangeAspect="1"/>
            </wp:cNvGraphicFramePr>
            <a:graphic>
              <a:graphicData uri="http://schemas.openxmlformats.org/drawingml/2006/picture">
                <pic:pic>
                  <pic:nvPicPr>
                    <pic:cNvPr id="2056649245" name="Picture 2056649245"/>
                    <pic:cNvPicPr/>
                  </pic:nvPicPr>
                  <pic:blipFill>
                    <a:blip r:embed="rId1173833683">
                      <a:extLst>
                        <a:ext uri="{28A0092B-C50C-407E-A947-70E740481C1C}">
                          <a14:useLocalDpi/>
                        </a:ext>
                      </a:extLst>
                    </a:blip>
                    <a:stretch>
                      <a:fillRect/>
                    </a:stretch>
                  </pic:blipFill>
                  <pic:spPr>
                    <a:xfrm>
                      <a:off x="0" y="0"/>
                      <a:ext cx="6543675" cy="4972050"/>
                    </a:xfrm>
                    <a:prstGeom prst="rect">
                      <a:avLst/>
                    </a:prstGeom>
                  </pic:spPr>
                </pic:pic>
              </a:graphicData>
            </a:graphic>
          </wp:inline>
        </w:drawing>
      </w:r>
    </w:p>
    <w:p w:rsidR="5A704AC6" w:rsidP="5A704AC6" w:rsidRDefault="5A704AC6" w14:paraId="602EE503" w14:textId="69656AEE">
      <w:pPr>
        <w:pStyle w:val="Normal"/>
        <w:suppressLineNumbers w:val="0"/>
        <w:bidi w:val="0"/>
        <w:spacing w:before="0" w:beforeAutospacing="off" w:after="160" w:afterAutospacing="off" w:line="279" w:lineRule="auto"/>
        <w:ind w:left="0" w:right="0"/>
        <w:jc w:val="both"/>
      </w:pPr>
    </w:p>
    <w:p w:rsidR="70241225" w:rsidP="70241225" w:rsidRDefault="70241225" w14:paraId="385DC7EE" w14:textId="0BBC3649">
      <w:pPr>
        <w:pStyle w:val="Normal"/>
        <w:suppressLineNumbers w:val="0"/>
        <w:bidi w:val="0"/>
        <w:spacing w:before="0" w:beforeAutospacing="off" w:after="160" w:afterAutospacing="off" w:line="279" w:lineRule="auto"/>
        <w:ind w:left="0" w:right="0"/>
        <w:jc w:val="both"/>
      </w:pPr>
      <w:r>
        <w:rPr/>
        <w:t xml:space="preserve">Due to the low IV value for the title variable, title was dropped for the regression stage as well. All other variables were included due to their high IV scores on the training data. 14 bins were chosen for the continuous variables as this was the maximum number of possible equal-percentile-width bins for the fico_n variable (without hitting plus or minus infinity for the weight-of-evidence score) and the other variables level off with low marginal IV gains after 14 bins anyway.</w:t>
      </w:r>
    </w:p>
    <w:p w:rsidR="55E60AFC" w:rsidP="55E60AFC" w:rsidRDefault="55E60AFC" w14:paraId="3497AC0B" w14:textId="72AB998B">
      <w:pPr>
        <w:pStyle w:val="Normal"/>
        <w:suppressLineNumbers w:val="0"/>
        <w:bidi w:val="0"/>
        <w:spacing w:before="0" w:beforeAutospacing="off" w:after="160" w:afterAutospacing="off" w:line="279" w:lineRule="auto"/>
        <w:ind w:left="0" w:right="0"/>
        <w:jc w:val="both"/>
      </w:pPr>
    </w:p>
    <w:p w:rsidR="6F0E87D7" w:rsidP="55E60AFC" w:rsidRDefault="6F0E87D7" w14:paraId="668555AD" w14:textId="3DF9A582">
      <w:pPr>
        <w:pStyle w:val="Normal"/>
        <w:suppressLineNumbers w:val="0"/>
        <w:bidi w:val="0"/>
        <w:spacing w:before="0" w:beforeAutospacing="off" w:after="160" w:afterAutospacing="off" w:line="279" w:lineRule="auto"/>
        <w:ind w:left="0" w:right="0"/>
        <w:jc w:val="both"/>
      </w:pPr>
      <w:r>
        <w:rPr>
          <w:b w:val="1"/>
          <w:bCs w:val="1"/>
          <w:i w:val="1"/>
          <w:iCs w:val="1"/>
        </w:rPr>
        <w:t>LOGISTIC REGRESSION</w:t>
      </w:r>
    </w:p>
    <w:p w:rsidR="34B6027F" w:rsidP="37612FBC" w:rsidRDefault="34B6027F" w14:paraId="303D1B09" w14:textId="7E661340">
      <w:pPr>
        <w:pStyle w:val="Normal"/>
        <w:suppressLineNumbers w:val="0"/>
        <w:spacing w:before="0" w:beforeAutospacing="off" w:after="160" w:afterAutospacing="off" w:line="279" w:lineRule="auto"/>
        <w:ind w:left="0" w:right="0"/>
        <w:jc w:val="both"/>
      </w:pPr>
      <w:r>
        <w:rPr>
          <w:b w:val="0"/>
          <w:bCs w:val="0"/>
          <w:i w:val="0"/>
          <w:iCs w:val="0"/>
        </w:rPr>
        <w:t xml:space="preserve">The data was split between training and testing data in the ratio 80%:20% and the Default=1 class subset was overweighted as the minority class by choosing the “balanced” weighting parameter for logistic regression. Each dataset entry was replaced with bin weight-of-evidence scores and the K-S statistic was used to determine the optimal classification threshold. The model coefficients, ROC, confusion matrix and validation scores from evaluation on the test sample are below:</w:t>
      </w:r>
    </w:p>
    <w:p w:rsidR="55E60AFC" w:rsidP="677AD3B0" w:rsidRDefault="55E60AFC" w14:paraId="3F8F2A58" w14:textId="3735DD8E">
      <w:pPr>
        <w:pStyle w:val="Normal"/>
        <w:suppressLineNumbers w:val="0"/>
        <w:bidi w:val="0"/>
        <w:spacing w:before="0" w:beforeAutospacing="off" w:after="160" w:afterAutospacing="off" w:line="279" w:lineRule="auto"/>
        <w:ind w:left="0" w:right="0"/>
        <w:jc w:val="both"/>
        <w:rPr>
          <w:b w:val="0"/>
          <w:bCs w:val="0"/>
          <w:i w:val="0"/>
          <w:iCs w:val="0"/>
        </w:rPr>
      </w:pPr>
    </w:p>
    <w:p w:rsidR="3581A844" w:rsidP="5A704AC6" w:rsidRDefault="3581A844" w14:paraId="2390F6F4" w14:textId="4FBE36E9">
      <w:pPr>
        <w:pStyle w:val="Normal"/>
        <w:suppressLineNumbers w:val="0"/>
        <w:bidi w:val="0"/>
        <w:spacing w:before="0" w:beforeAutospacing="off" w:after="160" w:afterAutospacing="off" w:line="279" w:lineRule="auto"/>
        <w:ind w:left="0" w:right="0"/>
        <w:jc w:val="both"/>
      </w:pPr>
      <w:r>
        <w:drawing>
          <wp:inline distT="0" distB="0" distL="0" distR="0">
            <wp:extent cx="2514600" cy="762000"/>
            <wp:effectExtent l="0" t="0" r="0" b="0"/>
            <wp:docPr id="50886167" name="drawing"/>
            <wp:cNvGraphicFramePr>
              <a:graphicFrameLocks noChangeAspect="1"/>
            </wp:cNvGraphicFramePr>
            <a:graphic>
              <a:graphicData uri="http://schemas.openxmlformats.org/drawingml/2006/picture">
                <pic:pic>
                  <pic:nvPicPr>
                    <pic:cNvPr id="1739796350" name="Picture 1739796350"/>
                    <pic:cNvPicPr/>
                  </pic:nvPicPr>
                  <pic:blipFill>
                    <a:blip r:embed="rId557887631">
                      <a:extLst>
                        <a:ext uri="{28A0092B-C50C-407E-A947-70E740481C1C}">
                          <a14:useLocalDpi/>
                        </a:ext>
                      </a:extLst>
                    </a:blip>
                    <a:stretch>
                      <a:fillRect/>
                    </a:stretch>
                  </pic:blipFill>
                  <pic:spPr>
                    <a:xfrm>
                      <a:off x="0" y="0"/>
                      <a:ext cx="2514600" cy="762000"/>
                    </a:xfrm>
                    <a:prstGeom prst="rect">
                      <a:avLst/>
                    </a:prstGeom>
                  </pic:spPr>
                </pic:pic>
              </a:graphicData>
            </a:graphic>
          </wp:inline>
        </w:drawing>
        <w:drawing>
          <wp:inline wp14:editId="3DF5174B" wp14:anchorId="0E22AA17">
            <wp:extent cx="2743200" cy="2162175"/>
            <wp:effectExtent l="0" t="0" r="0" b="0"/>
            <wp:docPr id="23882951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829514" name="Picture 238829514"/>
                    <pic:cNvPicPr/>
                  </pic:nvPicPr>
                  <pic:blipFill>
                    <a:blip xmlns:r="http://schemas.openxmlformats.org/officeDocument/2006/relationships" r:embed="rId1257975074">
                      <a:extLst>
                        <a:ext uri="{28A0092B-C50C-407E-A947-70E740481C1C}">
                          <a14:useLocalDpi xmlns:a14="http://schemas.microsoft.com/office/drawing/2010/main"/>
                        </a:ext>
                      </a:extLst>
                    </a:blip>
                    <a:stretch>
                      <a:fillRect/>
                    </a:stretch>
                  </pic:blipFill>
                  <pic:spPr>
                    <a:xfrm>
                      <a:off x="0" y="0"/>
                      <a:ext cx="2743200" cy="2162175"/>
                    </a:xfrm>
                    <a:prstGeom prst="rect">
                      <a:avLst/>
                    </a:prstGeom>
                  </pic:spPr>
                </pic:pic>
              </a:graphicData>
            </a:graphic>
          </wp:inline>
        </w:drawing>
      </w:r>
    </w:p>
    <w:p w:rsidR="5A704AC6" w:rsidP="5A704AC6" w:rsidRDefault="5A704AC6" w14:paraId="3E802690" w14:textId="556AD342">
      <w:pPr>
        <w:pStyle w:val="Normal"/>
        <w:suppressLineNumbers w:val="0"/>
        <w:bidi w:val="0"/>
        <w:spacing w:before="0" w:beforeAutospacing="off" w:after="160" w:afterAutospacing="off" w:line="279" w:lineRule="auto"/>
        <w:ind w:left="0" w:right="0"/>
        <w:jc w:val="both"/>
        <w:rPr>
          <w:b w:val="0"/>
          <w:bCs w:val="0"/>
          <w:i w:val="0"/>
          <w:iCs w:val="0"/>
        </w:rPr>
      </w:pPr>
    </w:p>
    <w:p w:rsidR="2984D2FF" w:rsidP="5A704AC6" w:rsidRDefault="2984D2FF" w14:paraId="411E15B6" w14:textId="752F63B3">
      <w:pPr>
        <w:pStyle w:val="Normal"/>
        <w:suppressLineNumbers w:val="0"/>
        <w:bidi w:val="0"/>
        <w:spacing w:before="0" w:beforeAutospacing="off" w:after="160" w:afterAutospacing="off" w:line="279" w:lineRule="auto"/>
        <w:ind w:left="0" w:right="0"/>
        <w:jc w:val="both"/>
      </w:pPr>
      <w:r>
        <w:drawing>
          <wp:inline wp14:editId="6E4B0F42" wp14:anchorId="37B24066">
            <wp:extent cx="5676900" cy="4095750"/>
            <wp:effectExtent l="0" t="0" r="0" b="0"/>
            <wp:docPr id="1225149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266271" name="Picture 714266271"/>
                    <pic:cNvPicPr/>
                  </pic:nvPicPr>
                  <pic:blipFill>
                    <a:blip xmlns:r="http://schemas.openxmlformats.org/officeDocument/2006/relationships" r:embed="rId1955934178">
                      <a:extLst>
                        <a:ext uri="{28A0092B-C50C-407E-A947-70E740481C1C}">
                          <a14:useLocalDpi xmlns:a14="http://schemas.microsoft.com/office/drawing/2010/main"/>
                        </a:ext>
                      </a:extLst>
                    </a:blip>
                    <a:stretch>
                      <a:fillRect/>
                    </a:stretch>
                  </pic:blipFill>
                  <pic:spPr>
                    <a:xfrm>
                      <a:off x="0" y="0"/>
                      <a:ext cx="5676900" cy="4095750"/>
                    </a:xfrm>
                    <a:prstGeom prst="rect">
                      <a:avLst/>
                    </a:prstGeom>
                  </pic:spPr>
                </pic:pic>
              </a:graphicData>
            </a:graphic>
          </wp:inline>
        </w:drawing>
      </w:r>
    </w:p>
    <w:p w:rsidR="0F36A3DE" w:rsidP="5A704AC6" w:rsidRDefault="0F36A3DE" w14:paraId="1EDAE118" w14:textId="2764FF5A">
      <w:pPr>
        <w:pStyle w:val="Normal"/>
        <w:suppressLineNumbers w:val="0"/>
        <w:bidi w:val="0"/>
        <w:spacing w:before="0" w:beforeAutospacing="off" w:after="160" w:afterAutospacing="off" w:line="279" w:lineRule="auto"/>
        <w:ind w:left="0" w:right="0"/>
        <w:jc w:val="both"/>
        <w:rPr>
          <w:b w:val="0"/>
          <w:bCs w:val="0"/>
          <w:i w:val="0"/>
          <w:iCs w:val="0"/>
        </w:rPr>
      </w:pPr>
      <w:r>
        <w:drawing>
          <wp:inline wp14:editId="0E582CB6" wp14:anchorId="006A848F">
            <wp:extent cx="6562725" cy="5162550"/>
            <wp:effectExtent l="0" t="0" r="0" b="0"/>
            <wp:docPr id="425311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144984" name="Picture 283144984"/>
                    <pic:cNvPicPr/>
                  </pic:nvPicPr>
                  <pic:blipFill>
                    <a:blip xmlns:r="http://schemas.openxmlformats.org/officeDocument/2006/relationships" r:embed="rId905564644">
                      <a:extLst>
                        <a:ext uri="{28A0092B-C50C-407E-A947-70E740481C1C}">
                          <a14:useLocalDpi xmlns:a14="http://schemas.microsoft.com/office/drawing/2010/main"/>
                        </a:ext>
                      </a:extLst>
                    </a:blip>
                    <a:stretch>
                      <a:fillRect/>
                    </a:stretch>
                  </pic:blipFill>
                  <pic:spPr>
                    <a:xfrm>
                      <a:off x="0" y="0"/>
                      <a:ext cx="6562725" cy="5162550"/>
                    </a:xfrm>
                    <a:prstGeom prst="rect">
                      <a:avLst/>
                    </a:prstGeom>
                  </pic:spPr>
                </pic:pic>
              </a:graphicData>
            </a:graphic>
          </wp:inline>
        </w:drawing>
      </w:r>
    </w:p>
    <w:p w:rsidR="0F36A3DE" w:rsidP="7A01A6B4" w:rsidRDefault="0F36A3DE" w14:paraId="3E895AEE" w14:textId="32D4E9D9">
      <w:pPr>
        <w:pStyle w:val="Normal"/>
        <w:suppressLineNumbers w:val="0"/>
        <w:spacing w:before="0" w:beforeAutospacing="off" w:after="160" w:afterAutospacing="off" w:line="279" w:lineRule="auto"/>
        <w:ind w:left="0" w:right="0"/>
        <w:jc w:val="both"/>
      </w:pPr>
      <w:r>
        <w:rPr/>
        <w:t>Independent variables were tested for multicollinearity using variance inflation factors, but these returned as normal (implied R</w:t>
      </w:r>
      <w:r>
        <w:rPr>
          <w:vertAlign w:val="superscript"/>
        </w:rPr>
        <w:t>2</w:t>
      </w:r>
      <w:r>
        <w:rPr>
          <w:vertAlign w:val="baseline"/>
        </w:rPr>
        <w:t xml:space="preserve"> values for each linear regression as near 0):</w:t>
      </w:r>
    </w:p>
    <w:p w:rsidR="2833305E" w:rsidP="5A704AC6" w:rsidRDefault="2833305E" w14:paraId="339EE9E3" w14:textId="73EC7501">
      <w:pPr>
        <w:pStyle w:val="Normal"/>
        <w:suppressLineNumbers w:val="0"/>
        <w:bidi w:val="0"/>
        <w:spacing w:before="0" w:beforeAutospacing="off" w:after="160" w:afterAutospacing="off" w:line="279" w:lineRule="auto"/>
        <w:ind w:left="0" w:right="0"/>
        <w:jc w:val="both"/>
      </w:pPr>
      <w:r>
        <w:drawing>
          <wp:inline wp14:editId="58673C5D" wp14:anchorId="52E4974C">
            <wp:extent cx="2352675" cy="2019300"/>
            <wp:effectExtent l="0" t="0" r="0" b="0"/>
            <wp:docPr id="1855168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608128" name="Picture 1120608128"/>
                    <pic:cNvPicPr/>
                  </pic:nvPicPr>
                  <pic:blipFill>
                    <a:blip xmlns:r="http://schemas.openxmlformats.org/officeDocument/2006/relationships" r:embed="rId772057356">
                      <a:extLst>
                        <a:ext uri="{28A0092B-C50C-407E-A947-70E740481C1C}">
                          <a14:useLocalDpi xmlns:a14="http://schemas.microsoft.com/office/drawing/2010/main"/>
                        </a:ext>
                      </a:extLst>
                    </a:blip>
                    <a:stretch>
                      <a:fillRect/>
                    </a:stretch>
                  </pic:blipFill>
                  <pic:spPr>
                    <a:xfrm>
                      <a:off x="0" y="0"/>
                      <a:ext cx="2352675" cy="2019300"/>
                    </a:xfrm>
                    <a:prstGeom prst="rect">
                      <a:avLst/>
                    </a:prstGeom>
                  </pic:spPr>
                </pic:pic>
              </a:graphicData>
            </a:graphic>
          </wp:inline>
        </w:drawing>
      </w:r>
    </w:p>
    <w:p w:rsidR="05F1349B" w:rsidP="5A704AC6" w:rsidRDefault="05F1349B" w14:paraId="6CEF9794" w14:textId="3DBF5378">
      <w:pPr>
        <w:pStyle w:val="Normal"/>
        <w:suppressLineNumbers w:val="0"/>
        <w:bidi w:val="0"/>
        <w:spacing w:before="0" w:beforeAutospacing="off" w:after="160" w:afterAutospacing="off" w:line="279" w:lineRule="auto"/>
        <w:ind w:left="0" w:right="0"/>
        <w:jc w:val="both"/>
      </w:pPr>
      <w:r>
        <w:rPr/>
        <w:t xml:space="preserve">To ensure that the out-of-sample performance of the model could not be improved by reducing the model complexity, a ridge logistic regression model was also trained with a heavy penalisation parameter (C=0.0001). The results of this are below:</w:t>
      </w:r>
    </w:p>
    <w:p w:rsidR="1C84BDAC" w:rsidP="0F87F77A" w:rsidRDefault="1C84BDAC" w14:paraId="4DE9992E" w14:textId="5823E275">
      <w:pPr>
        <w:pStyle w:val="Normal"/>
        <w:suppressLineNumbers w:val="0"/>
        <w:bidi w:val="0"/>
        <w:spacing w:before="0" w:beforeAutospacing="off" w:after="160" w:afterAutospacing="off" w:line="279" w:lineRule="auto"/>
        <w:ind w:left="0" w:right="0"/>
        <w:jc w:val="both"/>
      </w:pPr>
      <w:r>
        <w:drawing>
          <wp:inline distT="0" distB="0" distL="0" distR="0">
            <wp:extent cx="2466975" cy="733425"/>
            <wp:effectExtent l="0" t="0" r="0" b="0"/>
            <wp:docPr id="1260859059" name="drawing"/>
            <wp:cNvGraphicFramePr>
              <a:graphicFrameLocks noChangeAspect="1"/>
            </wp:cNvGraphicFramePr>
            <a:graphic>
              <a:graphicData uri="http://schemas.openxmlformats.org/drawingml/2006/picture">
                <pic:pic>
                  <pic:nvPicPr>
                    <pic:cNvPr id="911443403" name="Picture 911443403"/>
                    <pic:cNvPicPr/>
                  </pic:nvPicPr>
                  <pic:blipFill>
                    <a:blip r:embed="rId258696423">
                      <a:extLst>
                        <a:ext uri="{28A0092B-C50C-407E-A947-70E740481C1C}">
                          <a14:useLocalDpi/>
                        </a:ext>
                      </a:extLst>
                    </a:blip>
                    <a:stretch>
                      <a:fillRect/>
                    </a:stretch>
                  </pic:blipFill>
                  <pic:spPr>
                    <a:xfrm>
                      <a:off x="0" y="0"/>
                      <a:ext cx="2466975" cy="733425"/>
                    </a:xfrm>
                    <a:prstGeom prst="rect">
                      <a:avLst/>
                    </a:prstGeom>
                  </pic:spPr>
                </pic:pic>
              </a:graphicData>
            </a:graphic>
          </wp:inline>
        </w:drawing>
        <w:drawing>
          <wp:inline wp14:editId="3879ED2D" wp14:anchorId="5B651E8F">
            <wp:extent cx="2781300" cy="2200275"/>
            <wp:effectExtent l="0" t="0" r="0" b="0"/>
            <wp:docPr id="179046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232911" name="Picture 793232911"/>
                    <pic:cNvPicPr/>
                  </pic:nvPicPr>
                  <pic:blipFill>
                    <a:blip xmlns:r="http://schemas.openxmlformats.org/officeDocument/2006/relationships" r:embed="rId1968958289">
                      <a:extLst>
                        <a:ext uri="{28A0092B-C50C-407E-A947-70E740481C1C}">
                          <a14:useLocalDpi xmlns:a14="http://schemas.microsoft.com/office/drawing/2010/main"/>
                        </a:ext>
                      </a:extLst>
                    </a:blip>
                    <a:stretch>
                      <a:fillRect/>
                    </a:stretch>
                  </pic:blipFill>
                  <pic:spPr>
                    <a:xfrm>
                      <a:off x="0" y="0"/>
                      <a:ext cx="2781300" cy="2200275"/>
                    </a:xfrm>
                    <a:prstGeom prst="rect">
                      <a:avLst/>
                    </a:prstGeom>
                  </pic:spPr>
                </pic:pic>
              </a:graphicData>
            </a:graphic>
          </wp:inline>
        </w:drawing>
      </w:r>
    </w:p>
    <w:p w:rsidR="2BCFED3C" w:rsidP="7A01A6B4" w:rsidRDefault="2BCFED3C" w14:paraId="08C80134" w14:textId="788C4904">
      <w:pPr>
        <w:pStyle w:val="Normal"/>
        <w:suppressLineNumbers w:val="0"/>
        <w:bidi w:val="0"/>
        <w:spacing w:before="0" w:beforeAutospacing="off" w:after="160" w:afterAutospacing="off" w:line="279" w:lineRule="auto"/>
        <w:ind w:left="0" w:right="0"/>
        <w:jc w:val="both"/>
      </w:pPr>
      <w:r>
        <w:drawing>
          <wp:inline wp14:editId="4B320AC3" wp14:anchorId="30C483CC">
            <wp:extent cx="5657850" cy="4076700"/>
            <wp:effectExtent l="0" t="0" r="0" b="0"/>
            <wp:docPr id="731984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984293" name="Picture 731984293"/>
                    <pic:cNvPicPr/>
                  </pic:nvPicPr>
                  <pic:blipFill>
                    <a:blip xmlns:r="http://schemas.openxmlformats.org/officeDocument/2006/relationships" r:embed="rId1592859329">
                      <a:extLst>
                        <a:ext uri="{28A0092B-C50C-407E-A947-70E740481C1C}">
                          <a14:useLocalDpi xmlns:a14="http://schemas.microsoft.com/office/drawing/2010/main"/>
                        </a:ext>
                      </a:extLst>
                    </a:blip>
                    <a:stretch>
                      <a:fillRect/>
                    </a:stretch>
                  </pic:blipFill>
                  <pic:spPr>
                    <a:xfrm>
                      <a:off x="0" y="0"/>
                      <a:ext cx="5657850" cy="4076700"/>
                    </a:xfrm>
                    <a:prstGeom prst="rect">
                      <a:avLst/>
                    </a:prstGeom>
                  </pic:spPr>
                </pic:pic>
              </a:graphicData>
            </a:graphic>
          </wp:inline>
        </w:drawing>
      </w:r>
    </w:p>
    <w:p w:rsidR="2BCFED3C" w:rsidP="7A01A6B4" w:rsidRDefault="2BCFED3C" w14:paraId="1A9C1190" w14:textId="39DC9A80">
      <w:pPr>
        <w:pStyle w:val="Normal"/>
        <w:suppressLineNumbers w:val="0"/>
        <w:bidi w:val="0"/>
        <w:spacing w:before="0" w:beforeAutospacing="off" w:after="160" w:afterAutospacing="off" w:line="279" w:lineRule="auto"/>
        <w:ind w:left="0" w:right="0"/>
        <w:jc w:val="both"/>
      </w:pPr>
      <w:r>
        <w:drawing>
          <wp:inline wp14:editId="78D883CA" wp14:anchorId="7C469148">
            <wp:extent cx="6534150" cy="5143500"/>
            <wp:effectExtent l="0" t="0" r="0" b="0"/>
            <wp:docPr id="2021395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349649" name="Picture 725349649"/>
                    <pic:cNvPicPr/>
                  </pic:nvPicPr>
                  <pic:blipFill>
                    <a:blip xmlns:r="http://schemas.openxmlformats.org/officeDocument/2006/relationships" r:embed="rId1677351851">
                      <a:extLst>
                        <a:ext uri="{28A0092B-C50C-407E-A947-70E740481C1C}">
                          <a14:useLocalDpi xmlns:a14="http://schemas.microsoft.com/office/drawing/2010/main"/>
                        </a:ext>
                      </a:extLst>
                    </a:blip>
                    <a:stretch>
                      <a:fillRect/>
                    </a:stretch>
                  </pic:blipFill>
                  <pic:spPr>
                    <a:xfrm>
                      <a:off x="0" y="0"/>
                      <a:ext cx="6534150" cy="5143500"/>
                    </a:xfrm>
                    <a:prstGeom prst="rect">
                      <a:avLst/>
                    </a:prstGeom>
                  </pic:spPr>
                </pic:pic>
              </a:graphicData>
            </a:graphic>
          </wp:inline>
        </w:drawing>
      </w:r>
    </w:p>
    <w:p w:rsidR="62F2484D" w:rsidP="677AD3B0" w:rsidRDefault="62F2484D" w14:paraId="534D1F6F" w14:textId="2CAB4689">
      <w:pPr>
        <w:pStyle w:val="Normal"/>
        <w:suppressLineNumbers w:val="0"/>
        <w:bidi w:val="0"/>
        <w:spacing w:before="0" w:beforeAutospacing="off" w:after="160" w:afterAutospacing="off" w:line="279" w:lineRule="auto"/>
        <w:ind w:left="0" w:right="0"/>
        <w:jc w:val="both"/>
      </w:pPr>
      <w:r>
        <w:rPr/>
        <w:t xml:space="preserve">Penalising the regression coefficients results in lower validation scores across the board, and (unusually for a ridge model), does not result in fewer effective independent variables. This indicates that all the variables used have predictive power and dramatically reduce model effectiveness if removed. Given the variables included in the regression, the model is optimal.</w:t>
      </w:r>
    </w:p>
    <w:p w:rsidR="52AC1291" w:rsidP="677AD3B0" w:rsidRDefault="52AC1291" w14:paraId="1B974A76" w14:textId="5B4B5E7A">
      <w:pPr>
        <w:pStyle w:val="Normal"/>
        <w:suppressLineNumbers w:val="0"/>
        <w:bidi w:val="0"/>
        <w:spacing w:before="0" w:beforeAutospacing="off" w:after="160" w:afterAutospacing="off" w:line="279" w:lineRule="auto"/>
        <w:ind w:left="0" w:right="0"/>
        <w:jc w:val="both"/>
      </w:pPr>
      <w:r>
        <w:rPr/>
        <w:t xml:space="preserve">Both models have accuracy and recall scores better than chance (0.5) but poor precision scores, reflecting a large proportion of false positives. The K-S threshold choice to maximise the gap between the true positive rate and false positive rate is designed to optimise recall, which will inevitably reduce precision. Given that, in this scorecard context, a false positive (predicting a default that does not occur in the end) is less problematic than a false negative (not warning that a borrower is about to default), optimising for recall is preferable. </w:t>
      </w:r>
    </w:p>
    <w:p w:rsidR="04F322A3" w:rsidP="677AD3B0" w:rsidRDefault="04F322A3" w14:paraId="6801E989" w14:textId="13860D8D">
      <w:pPr>
        <w:pStyle w:val="Normal"/>
        <w:suppressLineNumbers w:val="0"/>
        <w:bidi w:val="0"/>
        <w:spacing w:before="0" w:beforeAutospacing="off" w:after="160" w:afterAutospacing="off" w:line="279" w:lineRule="auto"/>
        <w:ind w:left="0" w:right="0"/>
        <w:jc w:val="both"/>
      </w:pPr>
      <w:r>
        <w:rPr/>
        <w:t xml:space="preserve">Incidentally, the poor precision score can be modestly alleviated by not overweighting the defaulting class, but at the expense of a lower recall score. Below are the validation scores for the unpenalised regression without overweighting the defaulted class:</w:t>
      </w:r>
    </w:p>
    <w:p w:rsidR="06FD6C86" w:rsidP="677AD3B0" w:rsidRDefault="06FD6C86" w14:paraId="2CF4EE18" w14:textId="0CB6302D">
      <w:pPr>
        <w:pStyle w:val="Normal"/>
        <w:suppressLineNumbers w:val="0"/>
        <w:bidi w:val="0"/>
        <w:spacing w:before="0" w:beforeAutospacing="off" w:after="160" w:afterAutospacing="off" w:line="279" w:lineRule="auto"/>
        <w:ind w:left="0" w:right="0"/>
        <w:jc w:val="both"/>
      </w:pPr>
      <w:r>
        <w:drawing>
          <wp:inline wp14:editId="212E0041" wp14:anchorId="5676F8CE">
            <wp:extent cx="2466975" cy="771525"/>
            <wp:effectExtent l="0" t="0" r="0" b="0"/>
            <wp:docPr id="448761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761383" name="Picture 448761383"/>
                    <pic:cNvPicPr/>
                  </pic:nvPicPr>
                  <pic:blipFill>
                    <a:blip xmlns:r="http://schemas.openxmlformats.org/officeDocument/2006/relationships" r:embed="rId1274739790">
                      <a:extLst>
                        <a:ext uri="{28A0092B-C50C-407E-A947-70E740481C1C}">
                          <a14:useLocalDpi xmlns:a14="http://schemas.microsoft.com/office/drawing/2010/main"/>
                        </a:ext>
                      </a:extLst>
                    </a:blip>
                    <a:stretch>
                      <a:fillRect/>
                    </a:stretch>
                  </pic:blipFill>
                  <pic:spPr>
                    <a:xfrm>
                      <a:off x="0" y="0"/>
                      <a:ext cx="2466975" cy="771525"/>
                    </a:xfrm>
                    <a:prstGeom prst="rect">
                      <a:avLst/>
                    </a:prstGeom>
                  </pic:spPr>
                </pic:pic>
              </a:graphicData>
            </a:graphic>
          </wp:inline>
        </w:drawing>
      </w:r>
    </w:p>
    <w:p w:rsidR="677AD3B0" w:rsidP="677AD3B0" w:rsidRDefault="677AD3B0" w14:paraId="3C521B7A" w14:textId="41534DF2">
      <w:pPr>
        <w:pStyle w:val="Normal"/>
        <w:suppressLineNumbers w:val="0"/>
        <w:bidi w:val="0"/>
        <w:spacing w:before="0" w:beforeAutospacing="off" w:after="160" w:afterAutospacing="off" w:line="279" w:lineRule="auto"/>
        <w:ind w:left="0" w:right="0"/>
        <w:jc w:val="both"/>
      </w:pPr>
    </w:p>
    <w:p w:rsidR="71FB0EFB" w:rsidP="677AD3B0" w:rsidRDefault="71FB0EFB" w14:paraId="7F4B02F4" w14:textId="2F8DB862">
      <w:pPr>
        <w:pStyle w:val="Normal"/>
        <w:suppressLineNumbers w:val="0"/>
        <w:bidi w:val="0"/>
        <w:spacing w:before="0" w:beforeAutospacing="off" w:after="160" w:afterAutospacing="off" w:line="279" w:lineRule="auto"/>
        <w:ind w:left="0" w:right="0"/>
        <w:jc w:val="both"/>
      </w:pPr>
      <w:r>
        <w:rPr>
          <w:b w:val="1"/>
          <w:bCs w:val="1"/>
          <w:i w:val="1"/>
          <w:iCs w:val="1"/>
        </w:rPr>
        <w:t>CREDIT SCORECARD CONVERSION</w:t>
      </w:r>
    </w:p>
    <w:p w:rsidR="71FB0EFB" w:rsidP="677AD3B0" w:rsidRDefault="71FB0EFB" w14:paraId="45E831C5" w14:textId="64994D72">
      <w:pPr>
        <w:pStyle w:val="Normal"/>
        <w:suppressLineNumbers w:val="0"/>
        <w:bidi w:val="0"/>
        <w:spacing w:before="0" w:beforeAutospacing="off" w:after="160" w:afterAutospacing="off" w:line="279" w:lineRule="auto"/>
        <w:ind w:left="0" w:right="0"/>
        <w:jc w:val="both"/>
      </w:pPr>
      <w:r>
        <w:rPr>
          <w:b w:val="0"/>
          <w:bCs w:val="0"/>
          <w:i w:val="0"/>
          <w:iCs w:val="0"/>
        </w:rPr>
        <w:t xml:space="preserve">An interactive Excel workbook is provided with this project which converts the output of the unpenalised logistic regression into scorecard format. Below is a sample screenshot:</w:t>
      </w:r>
    </w:p>
    <w:p w:rsidR="3619E35E" w:rsidP="677AD3B0" w:rsidRDefault="3619E35E" w14:paraId="415B78A2" w14:textId="09081197">
      <w:pPr>
        <w:pStyle w:val="Normal"/>
        <w:suppressLineNumbers w:val="0"/>
        <w:bidi w:val="0"/>
        <w:spacing w:before="0" w:beforeAutospacing="off" w:after="160" w:afterAutospacing="off" w:line="279" w:lineRule="auto"/>
        <w:ind w:left="0" w:right="0"/>
        <w:jc w:val="both"/>
      </w:pPr>
      <w:r>
        <w:drawing>
          <wp:inline wp14:editId="6AD45115" wp14:anchorId="242D8B5A">
            <wp:extent cx="6600000" cy="2438333"/>
            <wp:effectExtent l="0" t="0" r="0" b="0"/>
            <wp:docPr id="2006398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398460" name="Picture 2006398460"/>
                    <pic:cNvPicPr/>
                  </pic:nvPicPr>
                  <pic:blipFill>
                    <a:blip xmlns:r="http://schemas.openxmlformats.org/officeDocument/2006/relationships" r:embed="rId1002346700">
                      <a:extLst>
                        <a:ext uri="{28A0092B-C50C-407E-A947-70E740481C1C}">
                          <a14:useLocalDpi xmlns:a14="http://schemas.microsoft.com/office/drawing/2010/main"/>
                        </a:ext>
                      </a:extLst>
                    </a:blip>
                    <a:stretch>
                      <a:fillRect/>
                    </a:stretch>
                  </pic:blipFill>
                  <pic:spPr>
                    <a:xfrm>
                      <a:off x="0" y="0"/>
                      <a:ext cx="6600000" cy="2438333"/>
                    </a:xfrm>
                    <a:prstGeom prst="rect">
                      <a:avLst/>
                    </a:prstGeom>
                  </pic:spPr>
                </pic:pic>
              </a:graphicData>
            </a:graphic>
          </wp:inline>
        </w:drawing>
      </w:r>
      <w:r>
        <w:rPr>
          <w:b w:val="0"/>
          <w:bCs w:val="0"/>
          <w:i w:val="0"/>
          <w:iCs w:val="0"/>
        </w:rPr>
        <w:t xml:space="preserve">The user can select a base score with odds of default to center the model, alongside the number of points needed for the score to double (20 is a common value for the latter). Dropdown menus are used to choose settings for the categorical variables, and continuous variables can be entered, so long as the entries are in the range of the training data.</w:t>
      </w:r>
    </w:p>
    <w:p w:rsidR="664D36C1" w:rsidP="677AD3B0" w:rsidRDefault="664D36C1" w14:paraId="5561F60E" w14:textId="6DCEBAF1">
      <w:pPr>
        <w:pStyle w:val="Normal"/>
        <w:suppressLineNumbers w:val="0"/>
        <w:bidi w:val="0"/>
        <w:spacing w:before="0" w:beforeAutospacing="off" w:after="160" w:afterAutospacing="off" w:line="279" w:lineRule="auto"/>
        <w:ind w:left="0" w:right="0"/>
        <w:jc w:val="both"/>
      </w:pPr>
      <w:r>
        <w:rPr>
          <w:b w:val="0"/>
          <w:bCs w:val="0"/>
          <w:i w:val="0"/>
          <w:iCs w:val="0"/>
        </w:rPr>
        <w:t>The conditional formatting of each variable provides useful feedback on which settings might lead to greater probability of default:</w:t>
      </w:r>
    </w:p>
    <w:tbl>
      <w:tblPr>
        <w:tblStyle w:val="GridTable4-Accent1"/>
        <w:bidiVisual w:val="0"/>
        <w:tblW w:w="0" w:type="auto"/>
        <w:tblLook w:val="06A0" w:firstRow="1" w:lastRow="0" w:firstColumn="1" w:lastColumn="0" w:noHBand="1" w:noVBand="1"/>
      </w:tblPr>
      <w:tblGrid>
        <w:gridCol w:w="5400"/>
        <w:gridCol w:w="5400"/>
      </w:tblGrid>
      <w:tr w:rsidR="677AD3B0" w:rsidTr="677AD3B0" w14:paraId="675DCBCF">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76F1AE4D" w14:textId="53BE0718">
            <w:pPr>
              <w:pStyle w:val="Normal"/>
              <w:bidi w:val="0"/>
              <w:rPr>
                <w:b w:val="0"/>
                <w:bCs w:val="0"/>
                <w:i w:val="1"/>
                <w:iCs w:val="1"/>
              </w:rPr>
            </w:pPr>
            <w:r>
              <w:rPr>
                <w:b w:val="0"/>
                <w:bCs w:val="0"/>
                <w:i w:val="1"/>
                <w:iCs w:val="1"/>
              </w:rPr>
              <w:t>Variable</w:t>
            </w:r>
          </w:p>
        </w:tc>
        <w:tc>
          <w:tcPr>
            <w:cnfStyle w:val="000000000000" w:firstRow="0" w:lastRow="0" w:firstColumn="0" w:lastColumn="0" w:oddVBand="0" w:evenVBand="0" w:oddHBand="0" w:evenHBand="0" w:firstRowFirstColumn="0" w:firstRowLastColumn="0" w:lastRowFirstColumn="0" w:lastRowLastColumn="0"/>
            <w:tcW w:w="5400" w:type="dxa"/>
            <w:tcMar/>
          </w:tcPr>
          <w:p w:rsidR="133AEFC6" w:rsidP="677AD3B0" w:rsidRDefault="133AEFC6" w14:paraId="71735621" w14:textId="64974A5E">
            <w:pPr>
              <w:pStyle w:val="Normal"/>
              <w:bidi w:val="0"/>
              <w:rPr>
                <w:b w:val="0"/>
                <w:bCs w:val="0"/>
                <w:i w:val="1"/>
                <w:iCs w:val="1"/>
              </w:rPr>
            </w:pPr>
            <w:r>
              <w:rPr>
                <w:b w:val="0"/>
                <w:bCs w:val="0"/>
                <w:i w:val="1"/>
                <w:iCs w:val="1"/>
              </w:rPr>
              <w:t>Discussion</w:t>
            </w:r>
          </w:p>
        </w:tc>
      </w:tr>
      <w:tr w:rsidR="677AD3B0" w:rsidTr="677AD3B0" w14:paraId="26CFD34F">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56B7B849" w14:textId="6E2FAC83">
            <w:pPr>
              <w:pStyle w:val="Normal"/>
            </w:pPr>
            <w:r>
              <w:rPr>
                <w:b w:val="0"/>
                <w:bCs w:val="0"/>
                <w:i w:val="0"/>
                <w:iCs w:val="0"/>
              </w:rPr>
              <w:t>Issue Date</w:t>
            </w:r>
          </w:p>
        </w:tc>
        <w:tc>
          <w:tcPr>
            <w:cnfStyle w:val="000000000000" w:firstRow="0" w:lastRow="0" w:firstColumn="0" w:lastColumn="0" w:oddVBand="0" w:evenVBand="0" w:oddHBand="0" w:evenHBand="0" w:firstRowFirstColumn="0" w:firstRowLastColumn="0" w:lastRowFirstColumn="0" w:lastRowLastColumn="0"/>
            <w:tcW w:w="5400" w:type="dxa"/>
            <w:tcMar/>
          </w:tcPr>
          <w:p w:rsidR="133AEFC6" w:rsidP="677AD3B0" w:rsidRDefault="133AEFC6" w14:paraId="4B4EA931" w14:textId="7B091F0A">
            <w:pPr>
              <w:pStyle w:val="ListParagraph"/>
              <w:numPr>
                <w:ilvl w:val="0"/>
                <w:numId w:val="3"/>
              </w:numPr>
              <w:bidi w:val="0"/>
              <w:rPr>
                <w:b w:val="0"/>
                <w:bCs w:val="0"/>
                <w:i w:val="0"/>
                <w:iCs w:val="0"/>
              </w:rPr>
            </w:pPr>
            <w:r>
              <w:rPr>
                <w:b w:val="0"/>
                <w:bCs w:val="0"/>
                <w:i w:val="0"/>
                <w:iCs w:val="0"/>
              </w:rPr>
              <w:t xml:space="preserve">Unsurprisingly, the very newest loans have the lowest default probability ;</w:t>
            </w:r>
          </w:p>
          <w:p w:rsidR="39AEC606" w:rsidP="677AD3B0" w:rsidRDefault="39AEC606" w14:paraId="04F1D8FE" w14:textId="0DECBF60">
            <w:pPr>
              <w:pStyle w:val="ListParagraph"/>
              <w:numPr>
                <w:ilvl w:val="0"/>
                <w:numId w:val="3"/>
              </w:numPr>
              <w:bidi w:val="0"/>
              <w:rPr>
                <w:b w:val="0"/>
                <w:bCs w:val="0"/>
                <w:i w:val="0"/>
                <w:iCs w:val="0"/>
              </w:rPr>
            </w:pPr>
            <w:r>
              <w:rPr>
                <w:b w:val="0"/>
                <w:bCs w:val="0"/>
                <w:i w:val="0"/>
                <w:iCs w:val="0"/>
              </w:rPr>
              <w:t xml:space="preserve">However, beyond this, cycles of higher/lower risk are present, possibly correlated to the business cycle. The highest default risk is attributed to the GFC period.</w:t>
            </w:r>
          </w:p>
        </w:tc>
      </w:tr>
      <w:tr w:rsidR="677AD3B0" w:rsidTr="677AD3B0" w14:paraId="2A02F7B7">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52CD5972" w14:textId="60F0BF0C">
            <w:pPr>
              <w:pStyle w:val="Normal"/>
            </w:pPr>
            <w:r>
              <w:rPr>
                <w:b w:val="0"/>
                <w:bCs w:val="0"/>
                <w:i w:val="0"/>
                <w:iCs w:val="0"/>
              </w:rPr>
              <w:t xml:space="preserve">Address State</w:t>
            </w:r>
          </w:p>
        </w:tc>
        <w:tc>
          <w:tcPr>
            <w:cnfStyle w:val="000000000000" w:firstRow="0" w:lastRow="0" w:firstColumn="0" w:lastColumn="0" w:oddVBand="0" w:evenVBand="0" w:oddHBand="0" w:evenHBand="0" w:firstRowFirstColumn="0" w:firstRowLastColumn="0" w:lastRowFirstColumn="0" w:lastRowLastColumn="0"/>
            <w:tcW w:w="5400" w:type="dxa"/>
            <w:tcMar/>
          </w:tcPr>
          <w:p w:rsidR="62A46599" w:rsidP="677AD3B0" w:rsidRDefault="62A46599" w14:paraId="25C2CC2A" w14:textId="7E382AF7">
            <w:pPr>
              <w:pStyle w:val="ListParagraph"/>
              <w:numPr>
                <w:ilvl w:val="0"/>
                <w:numId w:val="4"/>
              </w:numPr>
              <w:bidi w:val="0"/>
              <w:rPr>
                <w:b w:val="0"/>
                <w:bCs w:val="0"/>
                <w:i w:val="0"/>
                <w:iCs w:val="0"/>
              </w:rPr>
            </w:pPr>
            <w:r>
              <w:rPr>
                <w:b w:val="0"/>
                <w:bCs w:val="0"/>
                <w:i w:val="0"/>
                <w:iCs w:val="0"/>
              </w:rPr>
              <w:t xml:space="preserve">Maine, Washington DC and Vermont are the lowest risk states;</w:t>
            </w:r>
          </w:p>
          <w:p w:rsidR="49A974D1" w:rsidP="677AD3B0" w:rsidRDefault="49A974D1" w14:paraId="0029ABBF" w14:textId="136111A4">
            <w:pPr>
              <w:pStyle w:val="ListParagraph"/>
              <w:numPr>
                <w:ilvl w:val="0"/>
                <w:numId w:val="4"/>
              </w:numPr>
              <w:bidi w:val="0"/>
              <w:rPr>
                <w:b w:val="0"/>
                <w:bCs w:val="0"/>
                <w:i w:val="0"/>
                <w:iCs w:val="0"/>
              </w:rPr>
            </w:pPr>
            <w:r>
              <w:rPr>
                <w:b w:val="0"/>
                <w:bCs w:val="0"/>
                <w:i w:val="0"/>
                <w:iCs w:val="0"/>
              </w:rPr>
              <w:t xml:space="preserve">Mississippi, Nebraska and Arizona are the highest risk states;</w:t>
            </w:r>
          </w:p>
          <w:p w:rsidR="49A974D1" w:rsidP="677AD3B0" w:rsidRDefault="49A974D1" w14:paraId="4F13B439" w14:textId="2E93F547">
            <w:pPr>
              <w:pStyle w:val="ListParagraph"/>
              <w:numPr>
                <w:ilvl w:val="0"/>
                <w:numId w:val="4"/>
              </w:numPr>
              <w:bidi w:val="0"/>
              <w:rPr>
                <w:b w:val="0"/>
                <w:bCs w:val="0"/>
                <w:i w:val="0"/>
                <w:iCs w:val="0"/>
              </w:rPr>
            </w:pPr>
            <w:r>
              <w:rPr>
                <w:b w:val="0"/>
                <w:bCs w:val="0"/>
                <w:i w:val="0"/>
                <w:iCs w:val="0"/>
              </w:rPr>
              <w:t>This may be attributable to a wealth gap amongst these US states, leading to greater default probabilities.</w:t>
            </w:r>
          </w:p>
        </w:tc>
      </w:tr>
      <w:tr w:rsidR="677AD3B0" w:rsidTr="677AD3B0" w14:paraId="27E8152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35407A9C" w14:textId="5CECD3BD">
            <w:pPr>
              <w:pStyle w:val="Normal"/>
              <w:bidi w:val="0"/>
              <w:rPr>
                <w:b w:val="0"/>
                <w:bCs w:val="0"/>
                <w:i w:val="0"/>
                <w:iCs w:val="0"/>
              </w:rPr>
            </w:pPr>
            <w:r>
              <w:rPr>
                <w:b w:val="0"/>
                <w:bCs w:val="0"/>
                <w:i w:val="0"/>
                <w:iCs w:val="0"/>
              </w:rPr>
              <w:t>Revenue</w:t>
            </w:r>
          </w:p>
        </w:tc>
        <w:tc>
          <w:tcPr>
            <w:cnfStyle w:val="000000000000" w:firstRow="0" w:lastRow="0" w:firstColumn="0" w:lastColumn="0" w:oddVBand="0" w:evenVBand="0" w:oddHBand="0" w:evenHBand="0" w:firstRowFirstColumn="0" w:firstRowLastColumn="0" w:lastRowFirstColumn="0" w:lastRowLastColumn="0"/>
            <w:tcW w:w="5400" w:type="dxa"/>
            <w:tcMar/>
          </w:tcPr>
          <w:p w:rsidR="65F1024F" w:rsidP="677AD3B0" w:rsidRDefault="65F1024F" w14:paraId="13064609" w14:textId="4375487D">
            <w:pPr>
              <w:pStyle w:val="ListParagraph"/>
              <w:numPr>
                <w:ilvl w:val="0"/>
                <w:numId w:val="5"/>
              </w:numPr>
              <w:bidi w:val="0"/>
              <w:rPr>
                <w:b w:val="0"/>
                <w:bCs w:val="0"/>
                <w:i w:val="0"/>
                <w:iCs w:val="0"/>
              </w:rPr>
            </w:pPr>
            <w:r>
              <w:rPr>
                <w:b w:val="0"/>
                <w:bCs w:val="0"/>
                <w:i w:val="0"/>
                <w:iCs w:val="0"/>
              </w:rPr>
              <w:t xml:space="preserve">Unsurprisingly, there is a strong negative correlation between annual income and probability of default.</w:t>
            </w:r>
          </w:p>
        </w:tc>
      </w:tr>
      <w:tr w:rsidR="677AD3B0" w:rsidTr="677AD3B0" w14:paraId="22C63667">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2F9FCAF8" w14:textId="0A91BD90">
            <w:pPr>
              <w:pStyle w:val="Normal"/>
            </w:pPr>
            <w:r>
              <w:rPr>
                <w:b w:val="0"/>
                <w:bCs w:val="0"/>
                <w:i w:val="0"/>
                <w:iCs w:val="0"/>
              </w:rPr>
              <w:t>Total Debt / Monthly Income</w:t>
            </w:r>
          </w:p>
        </w:tc>
        <w:tc>
          <w:tcPr>
            <w:cnfStyle w:val="000000000000" w:firstRow="0" w:lastRow="0" w:firstColumn="0" w:lastColumn="0" w:oddVBand="0" w:evenVBand="0" w:oddHBand="0" w:evenHBand="0" w:firstRowFirstColumn="0" w:firstRowLastColumn="0" w:lastRowFirstColumn="0" w:lastRowLastColumn="0"/>
            <w:tcW w:w="5400" w:type="dxa"/>
            <w:tcMar/>
          </w:tcPr>
          <w:p w:rsidR="121C499A" w:rsidP="677AD3B0" w:rsidRDefault="121C499A" w14:paraId="18849CBE" w14:textId="1AFE365F">
            <w:pPr>
              <w:pStyle w:val="ListParagraph"/>
              <w:numPr>
                <w:ilvl w:val="0"/>
                <w:numId w:val="6"/>
              </w:numPr>
              <w:bidi w:val="0"/>
              <w:rPr>
                <w:b w:val="0"/>
                <w:bCs w:val="0"/>
                <w:i w:val="0"/>
                <w:iCs w:val="0"/>
              </w:rPr>
            </w:pPr>
            <w:r>
              <w:rPr>
                <w:b w:val="0"/>
                <w:bCs w:val="0"/>
                <w:i w:val="0"/>
                <w:iCs w:val="0"/>
              </w:rPr>
              <w:t>Likewise, there is an unsurprising positive correlation between the debt ratio and default rates.</w:t>
            </w:r>
          </w:p>
        </w:tc>
      </w:tr>
      <w:tr w:rsidR="677AD3B0" w:rsidTr="677AD3B0" w14:paraId="64E4C526">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6D08930A" w14:textId="4701515F">
            <w:pPr>
              <w:pStyle w:val="Normal"/>
            </w:pPr>
            <w:r>
              <w:rPr>
                <w:b w:val="0"/>
                <w:bCs w:val="0"/>
                <w:i w:val="0"/>
                <w:iCs w:val="0"/>
              </w:rPr>
              <w:t>Loan Amount</w:t>
            </w:r>
          </w:p>
        </w:tc>
        <w:tc>
          <w:tcPr>
            <w:cnfStyle w:val="000000000000" w:firstRow="0" w:lastRow="0" w:firstColumn="0" w:lastColumn="0" w:oddVBand="0" w:evenVBand="0" w:oddHBand="0" w:evenHBand="0" w:firstRowFirstColumn="0" w:firstRowLastColumn="0" w:lastRowFirstColumn="0" w:lastRowLastColumn="0"/>
            <w:tcW w:w="5400" w:type="dxa"/>
            <w:tcMar/>
          </w:tcPr>
          <w:p w:rsidR="281F5F5F" w:rsidP="677AD3B0" w:rsidRDefault="281F5F5F" w14:paraId="736859A3" w14:textId="2757FC05">
            <w:pPr>
              <w:pStyle w:val="ListParagraph"/>
              <w:numPr>
                <w:ilvl w:val="0"/>
                <w:numId w:val="7"/>
              </w:numPr>
              <w:bidi w:val="0"/>
              <w:rPr>
                <w:b w:val="0"/>
                <w:bCs w:val="0"/>
                <w:i w:val="0"/>
                <w:iCs w:val="0"/>
              </w:rPr>
            </w:pPr>
            <w:r>
              <w:rPr>
                <w:b w:val="0"/>
                <w:bCs w:val="0"/>
                <w:i w:val="0"/>
                <w:iCs w:val="0"/>
              </w:rPr>
              <w:t xml:space="preserve">Generally, the greater the loan amount, the greater the default probability, but the correlation is less than perfect.</w:t>
            </w:r>
          </w:p>
        </w:tc>
      </w:tr>
      <w:tr w:rsidR="677AD3B0" w:rsidTr="677AD3B0" w14:paraId="5681556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0A3C477F" w14:textId="5BEE8CF2">
            <w:pPr>
              <w:pStyle w:val="Normal"/>
            </w:pPr>
            <w:r>
              <w:rPr>
                <w:b w:val="0"/>
                <w:bCs w:val="0"/>
                <w:i w:val="0"/>
                <w:iCs w:val="0"/>
              </w:rPr>
              <w:t>FICO Score</w:t>
            </w:r>
          </w:p>
        </w:tc>
        <w:tc>
          <w:tcPr>
            <w:cnfStyle w:val="000000000000" w:firstRow="0" w:lastRow="0" w:firstColumn="0" w:lastColumn="0" w:oddVBand="0" w:evenVBand="0" w:oddHBand="0" w:evenHBand="0" w:firstRowFirstColumn="0" w:firstRowLastColumn="0" w:lastRowFirstColumn="0" w:lastRowLastColumn="0"/>
            <w:tcW w:w="5400" w:type="dxa"/>
            <w:tcMar/>
          </w:tcPr>
          <w:p w:rsidR="3708A1B6" w:rsidP="677AD3B0" w:rsidRDefault="3708A1B6" w14:paraId="48E9A91D" w14:textId="0E30280D">
            <w:pPr>
              <w:pStyle w:val="ListParagraph"/>
              <w:numPr>
                <w:ilvl w:val="0"/>
                <w:numId w:val="8"/>
              </w:numPr>
              <w:bidi w:val="0"/>
              <w:rPr>
                <w:b w:val="0"/>
                <w:bCs w:val="0"/>
                <w:i w:val="0"/>
                <w:iCs w:val="0"/>
              </w:rPr>
            </w:pPr>
            <w:r>
              <w:rPr>
                <w:b w:val="0"/>
                <w:bCs w:val="0"/>
                <w:i w:val="0"/>
                <w:iCs w:val="0"/>
              </w:rPr>
              <w:t xml:space="preserve">Unsurprisingly, there is a strong negative correlation between FICO score and default risk.</w:t>
            </w:r>
          </w:p>
        </w:tc>
      </w:tr>
      <w:tr w:rsidR="677AD3B0" w:rsidTr="677AD3B0" w14:paraId="029ED610">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7FCA53B7" w14:textId="147E2C35">
            <w:pPr>
              <w:pStyle w:val="Normal"/>
            </w:pPr>
            <w:r>
              <w:rPr>
                <w:b w:val="0"/>
                <w:bCs w:val="0"/>
                <w:i w:val="0"/>
                <w:iCs w:val="0"/>
              </w:rPr>
              <w:t>Loan Purpose</w:t>
            </w:r>
          </w:p>
        </w:tc>
        <w:tc>
          <w:tcPr>
            <w:cnfStyle w:val="000000000000" w:firstRow="0" w:lastRow="0" w:firstColumn="0" w:lastColumn="0" w:oddVBand="0" w:evenVBand="0" w:oddHBand="0" w:evenHBand="0" w:firstRowFirstColumn="0" w:firstRowLastColumn="0" w:lastRowFirstColumn="0" w:lastRowLastColumn="0"/>
            <w:tcW w:w="5400" w:type="dxa"/>
            <w:tcMar/>
          </w:tcPr>
          <w:p w:rsidR="1B5F33B9" w:rsidP="677AD3B0" w:rsidRDefault="1B5F33B9" w14:paraId="22440C0C" w14:textId="2213FD4B">
            <w:pPr>
              <w:pStyle w:val="ListParagraph"/>
              <w:numPr>
                <w:ilvl w:val="0"/>
                <w:numId w:val="9"/>
              </w:numPr>
              <w:rPr/>
            </w:pPr>
            <w:r>
              <w:rPr>
                <w:b w:val="0"/>
                <w:bCs w:val="0"/>
                <w:i w:val="0"/>
                <w:iCs w:val="0"/>
              </w:rPr>
              <w:t>Wedding and car loans are the least risky;</w:t>
            </w:r>
          </w:p>
          <w:p w:rsidR="1B5F33B9" w:rsidP="677AD3B0" w:rsidRDefault="1B5F33B9" w14:paraId="29B7196C" w14:textId="2E79F153">
            <w:pPr>
              <w:pStyle w:val="ListParagraph"/>
              <w:numPr>
                <w:ilvl w:val="0"/>
                <w:numId w:val="9"/>
              </w:numPr>
              <w:bidi w:val="0"/>
              <w:rPr>
                <w:b w:val="0"/>
                <w:bCs w:val="0"/>
                <w:i w:val="0"/>
                <w:iCs w:val="0"/>
              </w:rPr>
            </w:pPr>
            <w:r>
              <w:rPr>
                <w:b w:val="0"/>
                <w:bCs w:val="0"/>
                <w:i w:val="0"/>
                <w:iCs w:val="0"/>
              </w:rPr>
              <w:t>Small business loans are by far the most risky.</w:t>
            </w:r>
          </w:p>
        </w:tc>
      </w:tr>
      <w:tr w:rsidR="677AD3B0" w:rsidTr="677AD3B0" w14:paraId="1BB64E26">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696A2780" w14:textId="62D4B79B">
            <w:pPr>
              <w:pStyle w:val="Normal"/>
            </w:pPr>
            <w:r>
              <w:rPr>
                <w:b w:val="0"/>
                <w:bCs w:val="0"/>
                <w:i w:val="0"/>
                <w:iCs w:val="0"/>
              </w:rPr>
              <w:t>Employment Length</w:t>
            </w:r>
          </w:p>
        </w:tc>
        <w:tc>
          <w:tcPr>
            <w:cnfStyle w:val="000000000000" w:firstRow="0" w:lastRow="0" w:firstColumn="0" w:lastColumn="0" w:oddVBand="0" w:evenVBand="0" w:oddHBand="0" w:evenHBand="0" w:firstRowFirstColumn="0" w:firstRowLastColumn="0" w:lastRowFirstColumn="0" w:lastRowLastColumn="0"/>
            <w:tcW w:w="5400" w:type="dxa"/>
            <w:tcMar/>
          </w:tcPr>
          <w:p w:rsidR="2E630CDB" w:rsidP="677AD3B0" w:rsidRDefault="2E630CDB" w14:paraId="47DF10C4" w14:textId="5301CC7E">
            <w:pPr>
              <w:pStyle w:val="ListParagraph"/>
              <w:numPr>
                <w:ilvl w:val="0"/>
                <w:numId w:val="10"/>
              </w:numPr>
              <w:bidi w:val="0"/>
              <w:rPr>
                <w:b w:val="0"/>
                <w:bCs w:val="0"/>
                <w:i w:val="0"/>
                <w:iCs w:val="0"/>
              </w:rPr>
            </w:pPr>
            <w:r>
              <w:rPr>
                <w:b w:val="0"/>
                <w:bCs w:val="0"/>
                <w:i w:val="0"/>
                <w:iCs w:val="0"/>
              </w:rPr>
              <w:t>There is a modest negative correlation between time in employment and default risk, but the greatest risk is attributed to those without employment length information.</w:t>
            </w:r>
          </w:p>
        </w:tc>
      </w:tr>
      <w:tr w:rsidR="677AD3B0" w:rsidTr="677AD3B0" w14:paraId="3CC930B4">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435EC1E1" w14:textId="162B7B8F">
            <w:pPr>
              <w:pStyle w:val="Normal"/>
            </w:pPr>
            <w:r>
              <w:rPr>
                <w:b w:val="0"/>
                <w:bCs w:val="0"/>
                <w:i w:val="0"/>
                <w:iCs w:val="0"/>
              </w:rPr>
              <w:t>Home Ownership</w:t>
            </w:r>
          </w:p>
        </w:tc>
        <w:tc>
          <w:tcPr>
            <w:cnfStyle w:val="000000000000" w:firstRow="0" w:lastRow="0" w:firstColumn="0" w:lastColumn="0" w:oddVBand="0" w:evenVBand="0" w:oddHBand="0" w:evenHBand="0" w:firstRowFirstColumn="0" w:firstRowLastColumn="0" w:lastRowFirstColumn="0" w:lastRowLastColumn="0"/>
            <w:tcW w:w="5400" w:type="dxa"/>
            <w:tcMar/>
          </w:tcPr>
          <w:p w:rsidR="4A8C5758" w:rsidP="677AD3B0" w:rsidRDefault="4A8C5758" w14:paraId="22CABEA0" w14:textId="3562A9A3">
            <w:pPr>
              <w:pStyle w:val="ListParagraph"/>
              <w:numPr>
                <w:ilvl w:val="0"/>
                <w:numId w:val="11"/>
              </w:numPr>
              <w:bidi w:val="0"/>
              <w:rPr>
                <w:b w:val="0"/>
                <w:bCs w:val="0"/>
                <w:i w:val="0"/>
                <w:iCs w:val="0"/>
              </w:rPr>
            </w:pPr>
            <w:r>
              <w:rPr>
                <w:b w:val="0"/>
                <w:bCs w:val="0"/>
                <w:i w:val="0"/>
                <w:iCs w:val="0"/>
              </w:rPr>
              <w:t xml:space="preserve">Renters are the most risky;</w:t>
            </w:r>
          </w:p>
          <w:p w:rsidR="4A8C5758" w:rsidP="677AD3B0" w:rsidRDefault="4A8C5758" w14:paraId="582330C0" w14:textId="43D791FE">
            <w:pPr>
              <w:pStyle w:val="ListParagraph"/>
              <w:numPr>
                <w:ilvl w:val="0"/>
                <w:numId w:val="11"/>
              </w:numPr>
              <w:bidi w:val="0"/>
              <w:rPr>
                <w:b w:val="0"/>
                <w:bCs w:val="0"/>
                <w:i w:val="0"/>
                <w:iCs w:val="0"/>
              </w:rPr>
            </w:pPr>
            <w:r>
              <w:rPr>
                <w:b w:val="0"/>
                <w:bCs w:val="0"/>
                <w:i w:val="0"/>
                <w:iCs w:val="0"/>
              </w:rPr>
              <w:t xml:space="preserve">Mortgage owners are the least risky, surprisingly less risky than those that own their home outright.</w:t>
            </w:r>
          </w:p>
        </w:tc>
      </w:tr>
      <w:tr w:rsidR="677AD3B0" w:rsidTr="677AD3B0" w14:paraId="32C4DE69">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133AEFC6" w:rsidP="677AD3B0" w:rsidRDefault="133AEFC6" w14:paraId="127FBBFD" w14:textId="51C1E3AB">
            <w:pPr>
              <w:pStyle w:val="Normal"/>
            </w:pPr>
            <w:r>
              <w:rPr>
                <w:b w:val="0"/>
                <w:bCs w:val="0"/>
                <w:i w:val="0"/>
                <w:iCs w:val="0"/>
              </w:rPr>
              <w:t>New Borrower</w:t>
            </w:r>
          </w:p>
        </w:tc>
        <w:tc>
          <w:tcPr>
            <w:cnfStyle w:val="000000000000" w:firstRow="0" w:lastRow="0" w:firstColumn="0" w:lastColumn="0" w:oddVBand="0" w:evenVBand="0" w:oddHBand="0" w:evenHBand="0" w:firstRowFirstColumn="0" w:firstRowLastColumn="0" w:lastRowFirstColumn="0" w:lastRowLastColumn="0"/>
            <w:tcW w:w="5400" w:type="dxa"/>
            <w:tcMar/>
          </w:tcPr>
          <w:p w:rsidR="5492500F" w:rsidP="677AD3B0" w:rsidRDefault="5492500F" w14:paraId="190FDC11" w14:textId="11C905BA">
            <w:pPr>
              <w:pStyle w:val="ListParagraph"/>
              <w:numPr>
                <w:ilvl w:val="0"/>
                <w:numId w:val="12"/>
              </w:numPr>
              <w:bidi w:val="0"/>
              <w:rPr>
                <w:b w:val="0"/>
                <w:bCs w:val="0"/>
                <w:i w:val="0"/>
                <w:iCs w:val="0"/>
              </w:rPr>
            </w:pPr>
            <w:r>
              <w:rPr>
                <w:b w:val="0"/>
                <w:bCs w:val="0"/>
                <w:i w:val="0"/>
                <w:iCs w:val="0"/>
              </w:rPr>
              <w:t>Unsurprisingly, those that have multiple borrowings are at greater risk of default.</w:t>
            </w:r>
          </w:p>
        </w:tc>
      </w:tr>
    </w:tbl>
    <w:p w:rsidR="677AD3B0" w:rsidP="677AD3B0" w:rsidRDefault="677AD3B0" w14:paraId="4206F181" w14:textId="69E9324E">
      <w:pPr>
        <w:pStyle w:val="Normal"/>
        <w:suppressLineNumbers w:val="0"/>
        <w:bidi w:val="0"/>
        <w:spacing w:before="0" w:beforeAutospacing="off" w:after="160" w:afterAutospacing="off" w:line="279" w:lineRule="auto"/>
        <w:ind w:left="0" w:right="0"/>
        <w:jc w:val="both"/>
        <w:rPr>
          <w:b w:val="0"/>
          <w:bCs w:val="0"/>
          <w:i w:val="0"/>
          <w:iCs w:val="0"/>
        </w:rPr>
      </w:pPr>
    </w:p>
    <w:p w:rsidR="5492500F" w:rsidP="677AD3B0" w:rsidRDefault="5492500F" w14:paraId="47FE7069" w14:textId="741C8982">
      <w:pPr>
        <w:pStyle w:val="Normal"/>
        <w:suppressLineNumbers w:val="0"/>
        <w:bidi w:val="0"/>
        <w:spacing w:before="0" w:beforeAutospacing="off" w:after="160" w:afterAutospacing="off" w:line="279" w:lineRule="auto"/>
        <w:ind w:left="0" w:right="0"/>
        <w:jc w:val="both"/>
      </w:pPr>
      <w:r>
        <w:rPr>
          <w:b w:val="1"/>
          <w:bCs w:val="1"/>
          <w:i w:val="1"/>
          <w:iCs w:val="1"/>
        </w:rPr>
        <w:t>REFERENCES</w:t>
      </w:r>
    </w:p>
    <w:p w:rsidR="475332E1" w:rsidP="677AD3B0" w:rsidRDefault="475332E1" w14:paraId="66C22AF5" w14:textId="03BF1C64">
      <w:pPr>
        <w:bidi w:val="0"/>
        <w:spacing w:before="240" w:beforeAutospacing="off" w:after="240" w:afterAutospacing="off"/>
        <w:jc w:val="both"/>
      </w:pPr>
      <w:r>
        <w:rPr>
          <w:rFonts w:ascii="Aptos" w:hAnsi="Aptos" w:eastAsia="Aptos" w:cs="Aptos"/>
          <w:noProof w:val="0"/>
          <w:sz w:val="24"/>
          <w:szCs w:val="24"/>
          <w:lang w:val="en-US"/>
        </w:rPr>
        <w:t xml:space="preserve">Ariza-Garzón, M.J., Sanz-Guerrero, M. and Arroyo Gallardo, J. (2024) </w:t>
      </w:r>
      <w:r>
        <w:rPr>
          <w:rFonts w:ascii="Aptos" w:hAnsi="Aptos" w:eastAsia="Aptos" w:cs="Aptos"/>
          <w:i w:val="1"/>
          <w:iCs w:val="1"/>
          <w:noProof w:val="0"/>
          <w:sz w:val="24"/>
          <w:szCs w:val="24"/>
          <w:lang w:val="en-US"/>
        </w:rPr>
        <w:t>Lending Club loan dataset for granting models</w:t>
      </w:r>
      <w:r>
        <w:rPr>
          <w:rFonts w:ascii="Aptos" w:hAnsi="Aptos" w:eastAsia="Aptos" w:cs="Aptos"/>
          <w:noProof w:val="0"/>
          <w:sz w:val="24"/>
          <w:szCs w:val="24"/>
          <w:lang w:val="en-US"/>
        </w:rPr>
        <w:t xml:space="preserve"> (Version 0.1) [Dataset]. Universidad Complutense de Madrid. Available at: </w:t>
      </w:r>
      <w:hyperlink r:id="Re5dbbc3cd1324215">
        <w:r>
          <w:rPr>
            <w:rStyle w:val="Hyperlink"/>
            <w:noProof w:val="0"/>
            <w:lang w:val="en-US"/>
          </w:rPr>
          <w:t>https://doi.org/10.5281/zenodo.11295916</w:t>
        </w:r>
      </w:hyperlink>
      <w:r>
        <w:rPr>
          <w:rFonts w:ascii="Aptos" w:hAnsi="Aptos" w:eastAsia="Aptos" w:cs="Aptos"/>
          <w:noProof w:val="0"/>
          <w:sz w:val="24"/>
          <w:szCs w:val="24"/>
          <w:lang w:val="en-US"/>
        </w:rPr>
        <w:t xml:space="preserve"> (Accessed: 10 July 2026).</w:t>
      </w:r>
    </w:p>
    <w:p w:rsidR="475332E1" w:rsidP="677AD3B0" w:rsidRDefault="475332E1" w14:paraId="6450D3EA" w14:textId="51B0D481">
      <w:pPr>
        <w:bidi w:val="0"/>
        <w:spacing w:before="240" w:beforeAutospacing="off" w:after="240" w:afterAutospacing="off"/>
        <w:jc w:val="both"/>
      </w:pPr>
      <w:r>
        <w:rPr>
          <w:rFonts w:ascii="Aptos" w:hAnsi="Aptos" w:eastAsia="Aptos" w:cs="Aptos"/>
          <w:noProof w:val="0"/>
          <w:sz w:val="24"/>
          <w:szCs w:val="24"/>
          <w:lang w:val="en-US"/>
        </w:rPr>
        <w:t xml:space="preserve">Howgate, K. (2021) </w:t>
      </w:r>
      <w:r>
        <w:rPr>
          <w:rFonts w:ascii="Aptos" w:hAnsi="Aptos" w:eastAsia="Aptos" w:cs="Aptos"/>
          <w:i w:val="1"/>
          <w:iCs w:val="1"/>
          <w:noProof w:val="0"/>
          <w:sz w:val="24"/>
          <w:szCs w:val="24"/>
          <w:lang w:val="en-US"/>
        </w:rPr>
        <w:t>How to build a credit scorecard</w:t>
      </w:r>
      <w:r>
        <w:rPr>
          <w:rFonts w:ascii="Aptos" w:hAnsi="Aptos" w:eastAsia="Aptos" w:cs="Aptos"/>
          <w:noProof w:val="0"/>
          <w:sz w:val="24"/>
          <w:szCs w:val="24"/>
          <w:lang w:val="en-US"/>
        </w:rPr>
        <w:t xml:space="preserve">. STOR-i, Lancaster University. Available at: </w:t>
      </w:r>
      <w:hyperlink r:id="R22932af3e0c24c90">
        <w:r>
          <w:rPr>
            <w:rStyle w:val="Hyperlink"/>
            <w:noProof w:val="0"/>
            <w:lang w:val="en-US"/>
          </w:rPr>
          <w:t>https://www.lancaster.ac.uk/stor-i-student-sites/katie-howgate/2021/02/07/how-to-build-a-credit-scorecard/</w:t>
        </w:r>
      </w:hyperlink>
      <w:r>
        <w:rPr>
          <w:rFonts w:ascii="Aptos" w:hAnsi="Aptos" w:eastAsia="Aptos" w:cs="Aptos"/>
          <w:noProof w:val="0"/>
          <w:sz w:val="24"/>
          <w:szCs w:val="24"/>
          <w:lang w:val="en-US"/>
        </w:rPr>
        <w:t xml:space="preserve"> (Accessed: 10 July 2026).</w:t>
      </w:r>
    </w:p>
    <w:p w:rsidR="475332E1" w:rsidP="677AD3B0" w:rsidRDefault="475332E1" w14:paraId="7844C215" w14:textId="5A9AE1B6">
      <w:pPr>
        <w:bidi w:val="0"/>
        <w:spacing w:before="240" w:beforeAutospacing="off" w:after="240" w:afterAutospacing="off"/>
        <w:jc w:val="both"/>
      </w:pPr>
      <w:r>
        <w:rPr>
          <w:rFonts w:ascii="Aptos" w:hAnsi="Aptos" w:eastAsia="Aptos" w:cs="Aptos"/>
          <w:noProof w:val="0"/>
          <w:sz w:val="24"/>
          <w:szCs w:val="24"/>
          <w:lang w:val="en-US"/>
        </w:rPr>
        <w:t xml:space="preserve">Siddiqi, N. (2006) </w:t>
      </w:r>
      <w:r>
        <w:rPr>
          <w:rFonts w:ascii="Aptos" w:hAnsi="Aptos" w:eastAsia="Aptos" w:cs="Aptos"/>
          <w:i w:val="1"/>
          <w:iCs w:val="1"/>
          <w:noProof w:val="0"/>
          <w:sz w:val="24"/>
          <w:szCs w:val="24"/>
          <w:lang w:val="en-US"/>
        </w:rPr>
        <w:t xml:space="preserve">Credit Risk Scorecards: Developing and Implementing Intelligent Credit Scoring</w:t>
      </w:r>
      <w:r>
        <w:rPr>
          <w:rFonts w:ascii="Aptos" w:hAnsi="Aptos" w:eastAsia="Aptos" w:cs="Aptos"/>
          <w:noProof w:val="0"/>
          <w:sz w:val="24"/>
          <w:szCs w:val="24"/>
          <w:lang w:val="en-US"/>
        </w:rPr>
        <w:t>. Hoboken, NJ: John Wiley &amp; Sons.</w:t>
      </w:r>
    </w:p>
    <w:sectPr>
      <w:pgSz w:w="11906" w:h="16838" w:orient="portrait"/>
      <w:pgMar w:top="720" w:right="720" w:bottom="720" w:left="720" w:header="720" w:footer="720" w:gutter="0"/>
      <w:cols w:space="720"/>
      <w:docGrid w:linePitch="360"/>
      <w:headerReference w:type="default" r:id="R4b76a4d815824d64"/>
      <w:footerReference w:type="default" r:id="Re3c1432e4eaf45b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37612FBC" w:rsidTr="37612FBC" w14:paraId="11A9656F">
      <w:trPr>
        <w:trHeight w:val="300"/>
      </w:trPr>
      <w:tc>
        <w:tcPr>
          <w:tcW w:w="3600" w:type="dxa"/>
          <w:tcMar/>
        </w:tcPr>
        <w:p w:rsidR="37612FBC" w:rsidP="37612FBC" w:rsidRDefault="37612FBC" w14:paraId="677DD158" w14:textId="5D08C126">
          <w:pPr>
            <w:pStyle w:val="Header"/>
            <w:bidi w:val="0"/>
            <w:ind w:left="-115"/>
            <w:jc w:val="left"/>
          </w:pPr>
          <w:r w:rsidR="37612FBC">
            <w:rPr/>
            <w:t>© David Curington 2026</w:t>
          </w:r>
        </w:p>
      </w:tc>
      <w:tc>
        <w:tcPr>
          <w:tcW w:w="3600" w:type="dxa"/>
          <w:tcMar/>
        </w:tcPr>
        <w:p w:rsidR="37612FBC" w:rsidP="37612FBC" w:rsidRDefault="37612FBC" w14:paraId="78AF0215" w14:textId="119E9FDD">
          <w:pPr>
            <w:pStyle w:val="Header"/>
            <w:bidi w:val="0"/>
            <w:jc w:val="center"/>
          </w:pPr>
          <w:r>
            <w:fldChar w:fldCharType="begin"/>
          </w:r>
          <w:r>
            <w:instrText xml:space="preserve">PAGE</w:instrText>
          </w:r>
          <w:r>
            <w:fldChar w:fldCharType="separate"/>
          </w:r>
          <w:r>
            <w:fldChar w:fldCharType="end"/>
          </w:r>
        </w:p>
      </w:tc>
      <w:tc>
        <w:tcPr>
          <w:tcW w:w="3600" w:type="dxa"/>
          <w:tcMar/>
        </w:tcPr>
        <w:p w:rsidR="37612FBC" w:rsidP="37612FBC" w:rsidRDefault="37612FBC" w14:paraId="12314EFC" w14:textId="440EC382">
          <w:pPr>
            <w:pStyle w:val="Header"/>
            <w:bidi w:val="0"/>
            <w:ind w:right="-115"/>
            <w:jc w:val="right"/>
          </w:pPr>
          <w:r w:rsidR="37612FBC">
            <w:rPr/>
            <w:t>Credit Scorecard Model</w:t>
          </w:r>
        </w:p>
      </w:tc>
    </w:tr>
  </w:tbl>
  <w:p w:rsidR="37612FBC" w:rsidP="37612FBC" w:rsidRDefault="37612FBC" w14:paraId="2F3EEB70" w14:textId="5C4DA1E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37612FBC" w:rsidTr="37612FBC" w14:paraId="72A81BFA">
      <w:trPr>
        <w:trHeight w:val="300"/>
      </w:trPr>
      <w:tc>
        <w:tcPr>
          <w:tcW w:w="3600" w:type="dxa"/>
          <w:tcMar/>
        </w:tcPr>
        <w:p w:rsidR="37612FBC" w:rsidP="37612FBC" w:rsidRDefault="37612FBC" w14:paraId="683CBF1C" w14:textId="78D85376">
          <w:pPr>
            <w:pStyle w:val="Header"/>
            <w:bidi w:val="0"/>
            <w:ind w:left="-115"/>
            <w:jc w:val="left"/>
          </w:pPr>
        </w:p>
      </w:tc>
      <w:tc>
        <w:tcPr>
          <w:tcW w:w="3600" w:type="dxa"/>
          <w:tcMar/>
        </w:tcPr>
        <w:p w:rsidR="37612FBC" w:rsidP="37612FBC" w:rsidRDefault="37612FBC" w14:paraId="4CC350A8" w14:textId="29E91339">
          <w:pPr>
            <w:pStyle w:val="Header"/>
            <w:bidi w:val="0"/>
            <w:jc w:val="center"/>
          </w:pPr>
        </w:p>
      </w:tc>
      <w:tc>
        <w:tcPr>
          <w:tcW w:w="3600" w:type="dxa"/>
          <w:tcMar/>
        </w:tcPr>
        <w:p w:rsidR="37612FBC" w:rsidP="37612FBC" w:rsidRDefault="37612FBC" w14:paraId="128FE8F1" w14:textId="705252BB">
          <w:pPr>
            <w:pStyle w:val="Header"/>
            <w:bidi w:val="0"/>
            <w:ind w:right="-115"/>
            <w:jc w:val="right"/>
          </w:pPr>
        </w:p>
      </w:tc>
    </w:tr>
  </w:tbl>
  <w:p w:rsidR="37612FBC" w:rsidP="37612FBC" w:rsidRDefault="37612FBC" w14:paraId="4E40213C" w14:textId="6D006E75">
    <w:pPr>
      <w:pStyle w:val="Header"/>
      <w:bidi w:val="0"/>
    </w:pPr>
  </w:p>
</w:hdr>
</file>

<file path=word/numbering.xml><?xml version="1.0" encoding="utf-8"?>
<w:numbering xmlns:w="http://schemas.openxmlformats.org/wordprocessingml/2006/main">
  <w:abstractNum xmlns:w="http://schemas.openxmlformats.org/wordprocessingml/2006/main" w:abstractNumId="12">
    <w:nsid w:val="6c3b9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a7e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e4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2d5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43d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cca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e47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b20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df7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5f3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794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41c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DE907F"/>
    <w:rsid w:val="001C1033"/>
    <w:rsid w:val="00A2789A"/>
    <w:rsid w:val="00BB61C0"/>
    <w:rsid w:val="012AC42B"/>
    <w:rsid w:val="01A184EB"/>
    <w:rsid w:val="01B8BC3E"/>
    <w:rsid w:val="02A7EDF5"/>
    <w:rsid w:val="02FBE256"/>
    <w:rsid w:val="032B85BA"/>
    <w:rsid w:val="03BD0B67"/>
    <w:rsid w:val="03DAC47D"/>
    <w:rsid w:val="040F8360"/>
    <w:rsid w:val="0416A42A"/>
    <w:rsid w:val="0491705B"/>
    <w:rsid w:val="049FA773"/>
    <w:rsid w:val="04A5A5E3"/>
    <w:rsid w:val="04F322A3"/>
    <w:rsid w:val="04F6F8D7"/>
    <w:rsid w:val="04F8F001"/>
    <w:rsid w:val="0532FEBF"/>
    <w:rsid w:val="05688EB3"/>
    <w:rsid w:val="05CD4AA2"/>
    <w:rsid w:val="05F1349B"/>
    <w:rsid w:val="05F4D379"/>
    <w:rsid w:val="06044FE2"/>
    <w:rsid w:val="0652992F"/>
    <w:rsid w:val="068914EA"/>
    <w:rsid w:val="068B90F1"/>
    <w:rsid w:val="06DE907F"/>
    <w:rsid w:val="06FD6C86"/>
    <w:rsid w:val="076B1FF1"/>
    <w:rsid w:val="07845E0C"/>
    <w:rsid w:val="078DCCA4"/>
    <w:rsid w:val="080AF136"/>
    <w:rsid w:val="090E222F"/>
    <w:rsid w:val="0A3065D9"/>
    <w:rsid w:val="0A4CA367"/>
    <w:rsid w:val="0A613FCE"/>
    <w:rsid w:val="0A696B0D"/>
    <w:rsid w:val="0A9A97AD"/>
    <w:rsid w:val="0B60E49D"/>
    <w:rsid w:val="0BBA772E"/>
    <w:rsid w:val="0C5BD1BD"/>
    <w:rsid w:val="0CC1874F"/>
    <w:rsid w:val="0CEA9658"/>
    <w:rsid w:val="0D22BAF2"/>
    <w:rsid w:val="0E3DAE18"/>
    <w:rsid w:val="0EA3E950"/>
    <w:rsid w:val="0EC01EDF"/>
    <w:rsid w:val="0F36A3DE"/>
    <w:rsid w:val="0F41CD84"/>
    <w:rsid w:val="0F5AFA86"/>
    <w:rsid w:val="0F87F77A"/>
    <w:rsid w:val="0F909E38"/>
    <w:rsid w:val="10214745"/>
    <w:rsid w:val="1055B244"/>
    <w:rsid w:val="11354FC2"/>
    <w:rsid w:val="1145CC28"/>
    <w:rsid w:val="115BB397"/>
    <w:rsid w:val="116ACC1D"/>
    <w:rsid w:val="11EE4903"/>
    <w:rsid w:val="121C499A"/>
    <w:rsid w:val="13241824"/>
    <w:rsid w:val="132F7F5F"/>
    <w:rsid w:val="133AEFC6"/>
    <w:rsid w:val="133E14CD"/>
    <w:rsid w:val="1348C125"/>
    <w:rsid w:val="1376F5B8"/>
    <w:rsid w:val="13A487D0"/>
    <w:rsid w:val="13E4CB04"/>
    <w:rsid w:val="13F635C0"/>
    <w:rsid w:val="14A3CBF0"/>
    <w:rsid w:val="14ACD285"/>
    <w:rsid w:val="14B6E35D"/>
    <w:rsid w:val="1511E5A4"/>
    <w:rsid w:val="156525FB"/>
    <w:rsid w:val="15BE16FB"/>
    <w:rsid w:val="15C808ED"/>
    <w:rsid w:val="15D2DF5F"/>
    <w:rsid w:val="1602CB6A"/>
    <w:rsid w:val="165717FF"/>
    <w:rsid w:val="166DD6AA"/>
    <w:rsid w:val="1682C4A3"/>
    <w:rsid w:val="16862161"/>
    <w:rsid w:val="16E258D9"/>
    <w:rsid w:val="1793241B"/>
    <w:rsid w:val="17C49C7C"/>
    <w:rsid w:val="1884AA64"/>
    <w:rsid w:val="197CA095"/>
    <w:rsid w:val="19CE080B"/>
    <w:rsid w:val="19F90E3F"/>
    <w:rsid w:val="1A552D98"/>
    <w:rsid w:val="1AA7CF10"/>
    <w:rsid w:val="1AFDF300"/>
    <w:rsid w:val="1B0F1E4C"/>
    <w:rsid w:val="1B4656FA"/>
    <w:rsid w:val="1B5F33B9"/>
    <w:rsid w:val="1BD51564"/>
    <w:rsid w:val="1C1B5B0B"/>
    <w:rsid w:val="1C5A4399"/>
    <w:rsid w:val="1C84BDAC"/>
    <w:rsid w:val="1CB628D8"/>
    <w:rsid w:val="1D3896F9"/>
    <w:rsid w:val="1D74B795"/>
    <w:rsid w:val="1D7E0BBA"/>
    <w:rsid w:val="1D973BD3"/>
    <w:rsid w:val="1DD2293C"/>
    <w:rsid w:val="1E3F5493"/>
    <w:rsid w:val="1E59DBED"/>
    <w:rsid w:val="1E799AA0"/>
    <w:rsid w:val="1ECC2062"/>
    <w:rsid w:val="1ED3D0B0"/>
    <w:rsid w:val="1EEF0545"/>
    <w:rsid w:val="1F2C7A5D"/>
    <w:rsid w:val="2016EDAA"/>
    <w:rsid w:val="20350323"/>
    <w:rsid w:val="21091E13"/>
    <w:rsid w:val="21493B2B"/>
    <w:rsid w:val="21AA7BF2"/>
    <w:rsid w:val="2422323C"/>
    <w:rsid w:val="24741A6D"/>
    <w:rsid w:val="2490D4DC"/>
    <w:rsid w:val="2492FACE"/>
    <w:rsid w:val="24B3FD31"/>
    <w:rsid w:val="24BCC241"/>
    <w:rsid w:val="251C1B54"/>
    <w:rsid w:val="2523694A"/>
    <w:rsid w:val="2531BF4C"/>
    <w:rsid w:val="25601AB5"/>
    <w:rsid w:val="2578B042"/>
    <w:rsid w:val="26507FC0"/>
    <w:rsid w:val="2663750F"/>
    <w:rsid w:val="26C3396B"/>
    <w:rsid w:val="26C5800C"/>
    <w:rsid w:val="2735E1FB"/>
    <w:rsid w:val="27428C49"/>
    <w:rsid w:val="281F5F5F"/>
    <w:rsid w:val="2833305E"/>
    <w:rsid w:val="28595DEF"/>
    <w:rsid w:val="285A0B7C"/>
    <w:rsid w:val="2894BD74"/>
    <w:rsid w:val="28FA0836"/>
    <w:rsid w:val="290E9B6E"/>
    <w:rsid w:val="296D77EE"/>
    <w:rsid w:val="29814C4D"/>
    <w:rsid w:val="2984D2FF"/>
    <w:rsid w:val="29F565CD"/>
    <w:rsid w:val="2A3218E9"/>
    <w:rsid w:val="2A396D46"/>
    <w:rsid w:val="2A44D7B2"/>
    <w:rsid w:val="2AB5DB18"/>
    <w:rsid w:val="2B203D78"/>
    <w:rsid w:val="2B628AAD"/>
    <w:rsid w:val="2BCFED3C"/>
    <w:rsid w:val="2BD60246"/>
    <w:rsid w:val="2BE6D18A"/>
    <w:rsid w:val="2BE81766"/>
    <w:rsid w:val="2C0FAE47"/>
    <w:rsid w:val="2C2A0644"/>
    <w:rsid w:val="2CC2AFFC"/>
    <w:rsid w:val="2CFAB333"/>
    <w:rsid w:val="2D4DD646"/>
    <w:rsid w:val="2DC380E8"/>
    <w:rsid w:val="2E3CE710"/>
    <w:rsid w:val="2E630CDB"/>
    <w:rsid w:val="2EC5E535"/>
    <w:rsid w:val="2ED23295"/>
    <w:rsid w:val="2F0DF463"/>
    <w:rsid w:val="2F8EF526"/>
    <w:rsid w:val="2FC80823"/>
    <w:rsid w:val="3004C1A6"/>
    <w:rsid w:val="302FE38B"/>
    <w:rsid w:val="3073AD52"/>
    <w:rsid w:val="308564E7"/>
    <w:rsid w:val="3086E104"/>
    <w:rsid w:val="30E95AD9"/>
    <w:rsid w:val="30FB96F2"/>
    <w:rsid w:val="32488B2E"/>
    <w:rsid w:val="32575A54"/>
    <w:rsid w:val="3262B26C"/>
    <w:rsid w:val="3269863F"/>
    <w:rsid w:val="331CF08A"/>
    <w:rsid w:val="3372CD2C"/>
    <w:rsid w:val="33A2EB04"/>
    <w:rsid w:val="33C7A60C"/>
    <w:rsid w:val="34351B82"/>
    <w:rsid w:val="348780C0"/>
    <w:rsid w:val="34A13301"/>
    <w:rsid w:val="34B6027F"/>
    <w:rsid w:val="34F38E3E"/>
    <w:rsid w:val="34FBB47A"/>
    <w:rsid w:val="35337B2C"/>
    <w:rsid w:val="3533F054"/>
    <w:rsid w:val="35748102"/>
    <w:rsid w:val="3581A844"/>
    <w:rsid w:val="35971442"/>
    <w:rsid w:val="35E03E6D"/>
    <w:rsid w:val="3613ABAB"/>
    <w:rsid w:val="3619E35E"/>
    <w:rsid w:val="364AFAEA"/>
    <w:rsid w:val="3680C408"/>
    <w:rsid w:val="3708A1B6"/>
    <w:rsid w:val="371A5625"/>
    <w:rsid w:val="374DDF3A"/>
    <w:rsid w:val="374DDF3A"/>
    <w:rsid w:val="37612FBC"/>
    <w:rsid w:val="377CC231"/>
    <w:rsid w:val="37B8D2DC"/>
    <w:rsid w:val="37BF0B37"/>
    <w:rsid w:val="37C4EB9D"/>
    <w:rsid w:val="37FA5542"/>
    <w:rsid w:val="3843F133"/>
    <w:rsid w:val="386CC898"/>
    <w:rsid w:val="388021F2"/>
    <w:rsid w:val="3890610F"/>
    <w:rsid w:val="390C2E4A"/>
    <w:rsid w:val="39AEC606"/>
    <w:rsid w:val="39B96398"/>
    <w:rsid w:val="39C5B528"/>
    <w:rsid w:val="39DE0344"/>
    <w:rsid w:val="3AC01097"/>
    <w:rsid w:val="3B210445"/>
    <w:rsid w:val="3B2A1A50"/>
    <w:rsid w:val="3BC5984B"/>
    <w:rsid w:val="3BD95A27"/>
    <w:rsid w:val="3BEA0D60"/>
    <w:rsid w:val="3BF57AD8"/>
    <w:rsid w:val="3C7648DC"/>
    <w:rsid w:val="3C9D52A4"/>
    <w:rsid w:val="3CBC83BC"/>
    <w:rsid w:val="3CCE0719"/>
    <w:rsid w:val="3D075328"/>
    <w:rsid w:val="3DEAC33D"/>
    <w:rsid w:val="3E0B4B34"/>
    <w:rsid w:val="3E4370B1"/>
    <w:rsid w:val="3E8B7211"/>
    <w:rsid w:val="3F31BB76"/>
    <w:rsid w:val="3F4F7A0B"/>
    <w:rsid w:val="3FFDBBE1"/>
    <w:rsid w:val="4007319B"/>
    <w:rsid w:val="40AE2C8C"/>
    <w:rsid w:val="412C72CC"/>
    <w:rsid w:val="41DE3F93"/>
    <w:rsid w:val="41FB398A"/>
    <w:rsid w:val="42E03A06"/>
    <w:rsid w:val="42EE49AD"/>
    <w:rsid w:val="430B3017"/>
    <w:rsid w:val="4369482C"/>
    <w:rsid w:val="43716531"/>
    <w:rsid w:val="43B3D893"/>
    <w:rsid w:val="445A2992"/>
    <w:rsid w:val="44B87032"/>
    <w:rsid w:val="453B0B7E"/>
    <w:rsid w:val="45C5AB05"/>
    <w:rsid w:val="45F0D332"/>
    <w:rsid w:val="46060373"/>
    <w:rsid w:val="4625EBA7"/>
    <w:rsid w:val="467B5343"/>
    <w:rsid w:val="4694C360"/>
    <w:rsid w:val="46BF9D66"/>
    <w:rsid w:val="46CFA76E"/>
    <w:rsid w:val="475332E1"/>
    <w:rsid w:val="475989FB"/>
    <w:rsid w:val="47903045"/>
    <w:rsid w:val="48B56F37"/>
    <w:rsid w:val="48D67837"/>
    <w:rsid w:val="49044098"/>
    <w:rsid w:val="4919C5FE"/>
    <w:rsid w:val="4961B59D"/>
    <w:rsid w:val="49A974D1"/>
    <w:rsid w:val="49BB9642"/>
    <w:rsid w:val="49C3A5BD"/>
    <w:rsid w:val="4A7877DD"/>
    <w:rsid w:val="4A8C5758"/>
    <w:rsid w:val="4AF395F6"/>
    <w:rsid w:val="4B02C6FE"/>
    <w:rsid w:val="4B6C6642"/>
    <w:rsid w:val="4B72EEB6"/>
    <w:rsid w:val="4B81E9A3"/>
    <w:rsid w:val="4B8594D5"/>
    <w:rsid w:val="4BCE4667"/>
    <w:rsid w:val="4C264740"/>
    <w:rsid w:val="4CEA7537"/>
    <w:rsid w:val="4D1783DA"/>
    <w:rsid w:val="4D19B1A1"/>
    <w:rsid w:val="4D2FDB16"/>
    <w:rsid w:val="4D563D9C"/>
    <w:rsid w:val="4D890BFB"/>
    <w:rsid w:val="4DB9515D"/>
    <w:rsid w:val="4E104D08"/>
    <w:rsid w:val="4E69279D"/>
    <w:rsid w:val="4EE0305A"/>
    <w:rsid w:val="4F02146C"/>
    <w:rsid w:val="4F10469D"/>
    <w:rsid w:val="4F98792C"/>
    <w:rsid w:val="50580114"/>
    <w:rsid w:val="5085DA37"/>
    <w:rsid w:val="508BEB98"/>
    <w:rsid w:val="50957107"/>
    <w:rsid w:val="509ECC2E"/>
    <w:rsid w:val="50EE01BD"/>
    <w:rsid w:val="50F51959"/>
    <w:rsid w:val="510F3D56"/>
    <w:rsid w:val="513EDBB9"/>
    <w:rsid w:val="51499E89"/>
    <w:rsid w:val="5166B419"/>
    <w:rsid w:val="516A9D66"/>
    <w:rsid w:val="516C39AE"/>
    <w:rsid w:val="51E5608D"/>
    <w:rsid w:val="525E2402"/>
    <w:rsid w:val="52AC1291"/>
    <w:rsid w:val="52DB8D7C"/>
    <w:rsid w:val="5332CAB2"/>
    <w:rsid w:val="53A40E87"/>
    <w:rsid w:val="5446FF31"/>
    <w:rsid w:val="5492500F"/>
    <w:rsid w:val="5520372A"/>
    <w:rsid w:val="55214772"/>
    <w:rsid w:val="5562708C"/>
    <w:rsid w:val="55AE6D5F"/>
    <w:rsid w:val="55E60AFC"/>
    <w:rsid w:val="56084471"/>
    <w:rsid w:val="567459CC"/>
    <w:rsid w:val="56BD6A32"/>
    <w:rsid w:val="56DB4B79"/>
    <w:rsid w:val="56E21709"/>
    <w:rsid w:val="57188FAD"/>
    <w:rsid w:val="571F0045"/>
    <w:rsid w:val="5779F780"/>
    <w:rsid w:val="57B89828"/>
    <w:rsid w:val="58010197"/>
    <w:rsid w:val="5814D11E"/>
    <w:rsid w:val="583173CE"/>
    <w:rsid w:val="58A96521"/>
    <w:rsid w:val="58ACA3EC"/>
    <w:rsid w:val="58C47DFB"/>
    <w:rsid w:val="58E6F459"/>
    <w:rsid w:val="594A7ADE"/>
    <w:rsid w:val="596B02B9"/>
    <w:rsid w:val="59808654"/>
    <w:rsid w:val="59AEBDA6"/>
    <w:rsid w:val="59FC0DAD"/>
    <w:rsid w:val="5A4CBA2A"/>
    <w:rsid w:val="5A704AC6"/>
    <w:rsid w:val="5AC9D262"/>
    <w:rsid w:val="5B2883B1"/>
    <w:rsid w:val="5C187D4C"/>
    <w:rsid w:val="5C1E6257"/>
    <w:rsid w:val="5CCFE1CB"/>
    <w:rsid w:val="5CE80E60"/>
    <w:rsid w:val="5CFB1890"/>
    <w:rsid w:val="5D32D05E"/>
    <w:rsid w:val="5DA9BA29"/>
    <w:rsid w:val="5DBF0210"/>
    <w:rsid w:val="5F9FFF19"/>
    <w:rsid w:val="5FD8C0E8"/>
    <w:rsid w:val="5FE24117"/>
    <w:rsid w:val="600FCD76"/>
    <w:rsid w:val="6024BF6C"/>
    <w:rsid w:val="602A801E"/>
    <w:rsid w:val="60E45D8D"/>
    <w:rsid w:val="6123C2A7"/>
    <w:rsid w:val="61F5DB97"/>
    <w:rsid w:val="620507D9"/>
    <w:rsid w:val="62309DBD"/>
    <w:rsid w:val="626F3B95"/>
    <w:rsid w:val="627F2786"/>
    <w:rsid w:val="628BA57F"/>
    <w:rsid w:val="62A46599"/>
    <w:rsid w:val="62A48C14"/>
    <w:rsid w:val="62E7714C"/>
    <w:rsid w:val="62F2484D"/>
    <w:rsid w:val="63480986"/>
    <w:rsid w:val="639415AA"/>
    <w:rsid w:val="63A4694E"/>
    <w:rsid w:val="64455201"/>
    <w:rsid w:val="64664DFE"/>
    <w:rsid w:val="64CCCFEE"/>
    <w:rsid w:val="656497DC"/>
    <w:rsid w:val="658295B7"/>
    <w:rsid w:val="65F1024F"/>
    <w:rsid w:val="660352CE"/>
    <w:rsid w:val="6623EC90"/>
    <w:rsid w:val="664D36C1"/>
    <w:rsid w:val="66EC2604"/>
    <w:rsid w:val="66F24466"/>
    <w:rsid w:val="671CCAA1"/>
    <w:rsid w:val="672309DE"/>
    <w:rsid w:val="6772592A"/>
    <w:rsid w:val="677AD3B0"/>
    <w:rsid w:val="67C99B0E"/>
    <w:rsid w:val="67CB36C4"/>
    <w:rsid w:val="695B5C57"/>
    <w:rsid w:val="6998BCD6"/>
    <w:rsid w:val="6A3E3FE4"/>
    <w:rsid w:val="6A6D3A5A"/>
    <w:rsid w:val="6A6E8238"/>
    <w:rsid w:val="6AA4A1F2"/>
    <w:rsid w:val="6B1BFBB5"/>
    <w:rsid w:val="6B4BF22C"/>
    <w:rsid w:val="6B51F274"/>
    <w:rsid w:val="6B79D9BB"/>
    <w:rsid w:val="6B7ADA1E"/>
    <w:rsid w:val="6B9C3976"/>
    <w:rsid w:val="6BD47FBF"/>
    <w:rsid w:val="6DEC0439"/>
    <w:rsid w:val="6DEF37A1"/>
    <w:rsid w:val="6E55E3F1"/>
    <w:rsid w:val="6E5AC9CE"/>
    <w:rsid w:val="6E93CBBC"/>
    <w:rsid w:val="6EA44599"/>
    <w:rsid w:val="6EC19E38"/>
    <w:rsid w:val="6ECD99F3"/>
    <w:rsid w:val="6F0E87D7"/>
    <w:rsid w:val="6F16A5AD"/>
    <w:rsid w:val="6F7B5C1F"/>
    <w:rsid w:val="6FA5C9FD"/>
    <w:rsid w:val="6FCA0BD3"/>
    <w:rsid w:val="6FE90541"/>
    <w:rsid w:val="70241225"/>
    <w:rsid w:val="70805BE0"/>
    <w:rsid w:val="70BDCF5F"/>
    <w:rsid w:val="70DD863B"/>
    <w:rsid w:val="70E98855"/>
    <w:rsid w:val="71A5EF4F"/>
    <w:rsid w:val="71C30D59"/>
    <w:rsid w:val="71FB0EFB"/>
    <w:rsid w:val="72677F8A"/>
    <w:rsid w:val="7298BDCF"/>
    <w:rsid w:val="72B7B769"/>
    <w:rsid w:val="738302C2"/>
    <w:rsid w:val="73872253"/>
    <w:rsid w:val="74A5ECC8"/>
    <w:rsid w:val="74C957CF"/>
    <w:rsid w:val="74C9E0CB"/>
    <w:rsid w:val="7591EF80"/>
    <w:rsid w:val="75B122D3"/>
    <w:rsid w:val="767624C1"/>
    <w:rsid w:val="7697A287"/>
    <w:rsid w:val="76EE1ED9"/>
    <w:rsid w:val="771277D5"/>
    <w:rsid w:val="772D26D9"/>
    <w:rsid w:val="776885B6"/>
    <w:rsid w:val="77FC21BD"/>
    <w:rsid w:val="78A287A8"/>
    <w:rsid w:val="78C0EDB2"/>
    <w:rsid w:val="78E4D80D"/>
    <w:rsid w:val="79027C79"/>
    <w:rsid w:val="796C994A"/>
    <w:rsid w:val="79C4C44D"/>
    <w:rsid w:val="7A01A6B4"/>
    <w:rsid w:val="7A34B5B3"/>
    <w:rsid w:val="7A44B0C0"/>
    <w:rsid w:val="7A685A88"/>
    <w:rsid w:val="7A68F888"/>
    <w:rsid w:val="7A6B5F8E"/>
    <w:rsid w:val="7A80BF25"/>
    <w:rsid w:val="7A887AF5"/>
    <w:rsid w:val="7B0ED04C"/>
    <w:rsid w:val="7B27C84D"/>
    <w:rsid w:val="7B4FCBC5"/>
    <w:rsid w:val="7BB4FF8A"/>
    <w:rsid w:val="7BC851BC"/>
    <w:rsid w:val="7C268FEF"/>
    <w:rsid w:val="7C30B342"/>
    <w:rsid w:val="7DBDD7D0"/>
    <w:rsid w:val="7E118589"/>
    <w:rsid w:val="7E87063D"/>
    <w:rsid w:val="7ECC2735"/>
    <w:rsid w:val="7ED24241"/>
    <w:rsid w:val="7EF3B5A3"/>
    <w:rsid w:val="7F79C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36B90"/>
  <w15:chartTrackingRefBased/>
  <w15:docId w15:val="{C18B4EAC-CC1C-40AC-83B2-6DA1B15AD3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0241225"/>
    <w:rPr>
      <w:color w:val="467886"/>
      <w:u w:val="single"/>
    </w:rPr>
  </w:style>
  <w:style w:type="paragraph" w:styleId="ListParagraph">
    <w:uiPriority w:val="34"/>
    <w:name w:val="List Paragraph"/>
    <w:basedOn w:val="Normal"/>
    <w:qFormat/>
    <w:rsid w:val="7024122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Header">
    <w:uiPriority w:val="99"/>
    <w:name w:val="header"/>
    <w:basedOn w:val="Normal"/>
    <w:unhideWhenUsed/>
    <w:rsid w:val="37612FBC"/>
    <w:pPr>
      <w:tabs>
        <w:tab w:val="center" w:leader="none" w:pos="4680"/>
        <w:tab w:val="right" w:leader="none" w:pos="9360"/>
      </w:tabs>
      <w:spacing w:after="0" w:line="240" w:lineRule="auto"/>
    </w:pPr>
  </w:style>
  <w:style w:type="paragraph" w:styleId="Footer">
    <w:uiPriority w:val="99"/>
    <w:name w:val="footer"/>
    <w:basedOn w:val="Normal"/>
    <w:unhideWhenUsed/>
    <w:rsid w:val="37612FB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zenodo.org/records/11295916" TargetMode="External" Id="Re2bbda3d9d774204" /><Relationship Type="http://schemas.openxmlformats.org/officeDocument/2006/relationships/image" Target="/media/image.png" Id="rId1055355257" /><Relationship Type="http://schemas.openxmlformats.org/officeDocument/2006/relationships/image" Target="/media/image2.png" Id="rId1173833683" /><Relationship Type="http://schemas.openxmlformats.org/officeDocument/2006/relationships/numbering" Target="numbering.xml" Id="R2bdac6ba5ccd4327" /><Relationship Type="http://schemas.openxmlformats.org/officeDocument/2006/relationships/image" Target="/media/image4.png" Id="rId905564644" /><Relationship Type="http://schemas.openxmlformats.org/officeDocument/2006/relationships/image" Target="/media/image6.png" Id="rId1257975074" /><Relationship Type="http://schemas.openxmlformats.org/officeDocument/2006/relationships/image" Target="/media/image7.png" Id="rId1955934178" /><Relationship Type="http://schemas.openxmlformats.org/officeDocument/2006/relationships/image" Target="/media/image8.png" Id="rId772057356" /><Relationship Type="http://schemas.openxmlformats.org/officeDocument/2006/relationships/image" Target="/media/image9.png" Id="rId557887631" /><Relationship Type="http://schemas.openxmlformats.org/officeDocument/2006/relationships/header" Target="header.xml" Id="R4b76a4d815824d64" /><Relationship Type="http://schemas.openxmlformats.org/officeDocument/2006/relationships/footer" Target="footer.xml" Id="Re3c1432e4eaf45bf" /><Relationship Type="http://schemas.openxmlformats.org/officeDocument/2006/relationships/image" Target="/media/imagea.png" Id="rId258696423" /><Relationship Type="http://schemas.openxmlformats.org/officeDocument/2006/relationships/image" Target="/media/imageb.png" Id="rId1968958289" /><Relationship Type="http://schemas.openxmlformats.org/officeDocument/2006/relationships/image" Target="/media/imagec.png" Id="rId1592859329" /><Relationship Type="http://schemas.openxmlformats.org/officeDocument/2006/relationships/image" Target="/media/imaged.png" Id="rId1677351851" /><Relationship Type="http://schemas.openxmlformats.org/officeDocument/2006/relationships/image" Target="/media/imagee.png" Id="rId1274739790" /><Relationship Type="http://schemas.openxmlformats.org/officeDocument/2006/relationships/image" Target="/media/imagef.png" Id="rId1002346700" /><Relationship Type="http://schemas.openxmlformats.org/officeDocument/2006/relationships/hyperlink" Target="https://doi.org/10.5281/zenodo.11295916" TargetMode="External" Id="Re5dbbc3cd1324215" /><Relationship Type="http://schemas.openxmlformats.org/officeDocument/2006/relationships/hyperlink" Target="https://www.lancaster.ac.uk/stor-i-student-sites/katie-howgate/2021/02/07/how-to-build-a-credit-scorecard/" TargetMode="External" Id="R22932af3e0c24c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2026-07-10T13:35:15.5690123Z</dcterms:created>
  <dcterms:modified xsi:type="dcterms:W3CDTF">2026-07-10T18:45:22.5011774Z</dcterms:modified>
  <dc:creator>David Curington</dc:creator>
  <lastModifiedBy>David Curington</lastModifiedBy>
</coreProperties>
</file>