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C72BD7"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A263AB">
        <w:rPr>
          <w:b w:val="0"/>
          <w:bCs w:val="0"/>
          <w:noProof/>
          <w:color w:val="000000"/>
          <w:sz w:val="16"/>
          <w:szCs w:val="16"/>
          <w:lang w:val="en-US"/>
        </w:rPr>
        <w:t>March 4,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00EF4362">
        <w:rPr>
          <w:b/>
          <w:bCs/>
          <w:lang w:val="en-US"/>
        </w:rPr>
        <w:t xml:space="preserve">(former title: </w:t>
      </w:r>
      <w:r w:rsidRPr="00C25477">
        <w:rPr>
          <w:b/>
          <w:bCs/>
          <w:lang w:val="en-US"/>
        </w:rPr>
        <w:t>“</w:t>
      </w:r>
      <w:r w:rsidRPr="00380014">
        <w:rPr>
          <w:b/>
          <w:bCs/>
          <w:iCs/>
          <w:lang w:val="en-US"/>
        </w:rPr>
        <w:t xml:space="preserve">Straightforward interpretation of </w:t>
      </w:r>
      <w:proofErr w:type="spellStart"/>
      <w:r w:rsidRPr="00380014">
        <w:rPr>
          <w:b/>
          <w:bCs/>
          <w:iCs/>
          <w:lang w:val="en-US"/>
        </w:rPr>
        <w:t>metabolomics</w:t>
      </w:r>
      <w:proofErr w:type="spellEnd"/>
      <w:r w:rsidRPr="00380014">
        <w:rPr>
          <w:b/>
          <w:bCs/>
          <w:iCs/>
          <w:lang w:val="en-US"/>
        </w:rPr>
        <w:t xml:space="preserve">,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w:t>
      </w:r>
      <w:r w:rsidR="00EF4362">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1) Please consider proof reading of the manuscript by a metabolomics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As suggested by Reviewer 1 the manuscript was reviewed by an expert in the field of metabolomics.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2) Please provide some additional results (preferably from metabolomics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xml:space="preserve">, respectively. Furthermore, Figure 2 is now based on real data from a study focused on the analysis of metabolic alterations in mouse liver tumors. The corresponding manuscript has recently been </w:t>
      </w:r>
      <w:r w:rsidR="00A263AB">
        <w:rPr>
          <w:lang w:val="en-US"/>
        </w:rPr>
        <w:t>advanced published</w:t>
      </w:r>
      <w:r w:rsidRPr="00F53210">
        <w:rPr>
          <w:lang w:val="en-US"/>
        </w:rPr>
        <w:t xml:space="preserve"> </w:t>
      </w:r>
      <w:r w:rsidR="00A263AB">
        <w:rPr>
          <w:lang w:val="en-US"/>
        </w:rPr>
        <w:t>in</w:t>
      </w:r>
      <w:r w:rsidRPr="00F53210">
        <w:rPr>
          <w:lang w:val="en-US"/>
        </w:rPr>
        <w:t xml:space="preserve"> the International Journal of Cancer</w:t>
      </w:r>
      <w:r w:rsidR="00A263AB">
        <w:rPr>
          <w:lang w:val="en-US"/>
        </w:rPr>
        <w:t xml:space="preserve"> (</w:t>
      </w:r>
      <w:hyperlink r:id="rId8" w:history="1">
        <w:r w:rsidR="00A263AB" w:rsidRPr="0024576E">
          <w:rPr>
            <w:rStyle w:val="Hyperlink"/>
            <w:lang w:val="en-US"/>
          </w:rPr>
          <w:t>http://onlinelibrary.wiley.com/doi/10.1002</w:t>
        </w:r>
        <w:r w:rsidR="00A263AB" w:rsidRPr="0024576E">
          <w:rPr>
            <w:rStyle w:val="Hyperlink"/>
            <w:lang w:val="en-US"/>
          </w:rPr>
          <w:t>/</w:t>
        </w:r>
        <w:r w:rsidR="00A263AB" w:rsidRPr="0024576E">
          <w:rPr>
            <w:rStyle w:val="Hyperlink"/>
            <w:lang w:val="en-US"/>
          </w:rPr>
          <w:t>ijc.28798/abstract</w:t>
        </w:r>
      </w:hyperlink>
      <w:r w:rsidR="00A263AB">
        <w:rPr>
          <w:lang w:val="en-US"/>
        </w:rPr>
        <w:t xml:space="preserve">) and is </w:t>
      </w:r>
      <w:r w:rsidR="00A263AB" w:rsidRPr="00F53210">
        <w:rPr>
          <w:lang w:val="en-US"/>
        </w:rPr>
        <w:t>briefly descr</w:t>
      </w:r>
      <w:r w:rsidR="00A263AB">
        <w:rPr>
          <w:lang w:val="en-US"/>
        </w:rPr>
        <w:t xml:space="preserve">ibed in the revised manuscript. </w:t>
      </w:r>
      <w:r w:rsidR="002560B9">
        <w:rPr>
          <w:lang w:val="en-US"/>
        </w:rPr>
        <w:t xml:space="preserve">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metabolomics data.</w:t>
      </w:r>
    </w:p>
    <w:p w:rsidR="002560B9" w:rsidRDefault="002560B9" w:rsidP="00CF730B">
      <w:pPr>
        <w:spacing w:after="120" w:line="240" w:lineRule="auto"/>
        <w:jc w:val="both"/>
        <w:rPr>
          <w:lang w:val="en-US"/>
        </w:rPr>
      </w:pPr>
    </w:p>
    <w:p w:rsidR="00A263AB" w:rsidRPr="002560B9" w:rsidRDefault="00A263AB"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560B9"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814F00" w:rsidRPr="00814F00" w:rsidRDefault="00814F00" w:rsidP="00CF730B">
      <w:pPr>
        <w:spacing w:after="120" w:line="240" w:lineRule="auto"/>
        <w:jc w:val="both"/>
        <w:rPr>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4) Comments from referee 2 on targeted metabolomics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t>Reviewer 1</w:t>
      </w:r>
      <w:r w:rsidRPr="002F11AB">
        <w:rPr>
          <w:b/>
          <w:bCs/>
          <w:sz w:val="24"/>
          <w:szCs w:val="24"/>
          <w:lang w:val="en-GB"/>
        </w:rPr>
        <w:t xml:space="preserve"> comments: </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metabolomics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 xml:space="preserve">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EF4362" w:rsidRPr="00F53210">
        <w:rPr>
          <w:lang w:val="en-US"/>
        </w:rPr>
        <w:t>(</w:t>
      </w:r>
      <w:hyperlink r:id="rId9" w:history="1">
        <w:r w:rsidR="00EF4362" w:rsidRPr="00F53210">
          <w:rPr>
            <w:rStyle w:val="Hyperlink"/>
            <w:rFonts w:cs="Arial"/>
            <w:lang w:val="en-US"/>
          </w:rPr>
          <w:t>http://www.msea.ca</w:t>
        </w:r>
      </w:hyperlink>
      <w:r w:rsidR="00EF4362" w:rsidRPr="00F53210">
        <w:rPr>
          <w:lang w:val="en-US"/>
        </w:rPr>
        <w:t xml:space="preserve">) or </w:t>
      </w:r>
      <w:proofErr w:type="spellStart"/>
      <w:r w:rsidR="00EF4362" w:rsidRPr="00F53210">
        <w:rPr>
          <w:lang w:val="en-US"/>
        </w:rPr>
        <w:t>IMPaLA</w:t>
      </w:r>
      <w:proofErr w:type="spellEnd"/>
      <w:r w:rsidR="00EF4362" w:rsidRPr="00F53210">
        <w:rPr>
          <w:lang w:val="en-US"/>
        </w:rPr>
        <w:t xml:space="preserve"> (</w:t>
      </w:r>
      <w:hyperlink r:id="rId10" w:history="1">
        <w:r w:rsidR="00EF4362" w:rsidRPr="00F53210">
          <w:rPr>
            <w:rStyle w:val="Hyperlink"/>
            <w:rFonts w:cs="Arial"/>
            <w:lang w:val="en-US"/>
          </w:rPr>
          <w:t>http://impala.molgen.mpg.de</w:t>
        </w:r>
      </w:hyperlink>
      <w:r w:rsidR="00EF4362">
        <w:rPr>
          <w:lang w:val="en-GB"/>
        </w:rPr>
        <w:t xml:space="preserve">) </w:t>
      </w:r>
      <w:r w:rsidRPr="00F53210">
        <w:rPr>
          <w:lang w:val="en-US"/>
        </w:rPr>
        <w:t xml:space="preserve">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The issue concerning the terminology was addressed by writing “d</w:t>
      </w:r>
      <w:r w:rsidR="00EF4362">
        <w:rPr>
          <w:lang w:val="en-US"/>
        </w:rPr>
        <w:t>iffering</w:t>
      </w:r>
      <w:r w:rsidRPr="00F53210">
        <w:rPr>
          <w:lang w:val="en-US"/>
        </w:rPr>
        <w:t xml:space="preserve">”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metabolomics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metabolomics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metabolomics data as well as mRNA, </w:t>
      </w:r>
      <w:proofErr w:type="spellStart"/>
      <w:r w:rsidRPr="00380014">
        <w:rPr>
          <w:lang w:val="en-US"/>
        </w:rPr>
        <w:t>miRNA</w:t>
      </w:r>
      <w:proofErr w:type="spellEnd"/>
      <w:r w:rsidRPr="00380014">
        <w:rPr>
          <w:lang w:val="en-US"/>
        </w:rPr>
        <w:t>, protein and DNA methylation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lysates is much easier. However, in particular in human studies in most cases the investigation of metabolites in body fluids reflecting metabolic pathways is the only way and therefore usually performed. Consequently numerous metabolomics studies have been published investigating for example human plasma to study metabolic pathways or alterations therein. In addition, since decades traditional plasma metabolite parameters have been analyzed to study pathways, like glucose/lactate to study glycolysis, plasma fatty acid profiles by gas chromatography, or </w:t>
      </w:r>
      <w:proofErr w:type="spellStart"/>
      <w:r w:rsidRPr="00F53210">
        <w:rPr>
          <w:lang w:val="en-US"/>
        </w:rPr>
        <w:t>acyl</w:t>
      </w:r>
      <w:proofErr w:type="spellEnd"/>
      <w:r w:rsidRPr="00F53210">
        <w:rPr>
          <w:lang w:val="en-US"/>
        </w:rPr>
        <w:t xml:space="preserve">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3) The authors are clearly not from the field of metabolomics (they do not mention the proper and much used tools for data (pre)m processing in metabolomics.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metabolomics field. We can dispel these concerns about lack of metabolomics expertise of the authors. The senior author (RL), for example, published in 2013 six articles presenting results from </w:t>
      </w:r>
      <w:proofErr w:type="spellStart"/>
      <w:r w:rsidRPr="00AF01F1">
        <w:rPr>
          <w:lang w:val="en-US"/>
        </w:rPr>
        <w:t>metabolomics</w:t>
      </w:r>
      <w:proofErr w:type="spellEnd"/>
      <w:r w:rsidRPr="00AF01F1">
        <w:rPr>
          <w:lang w:val="en-US"/>
        </w:rPr>
        <w:t xml:space="preserve">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B778D8" w:rsidRPr="00AF01F1" w:rsidRDefault="00B778D8" w:rsidP="00A263AB">
      <w:pPr>
        <w:spacing w:after="120" w:line="240" w:lineRule="auto"/>
        <w:jc w:val="both"/>
        <w:rPr>
          <w:lang w:val="en-US"/>
        </w:rPr>
      </w:pPr>
      <w:r w:rsidRPr="00AF01F1">
        <w:rPr>
          <w:lang w:val="en-US"/>
        </w:rPr>
        <w:t xml:space="preserve">Furthermore, we improved the clarity of the description of the data pre-processing step in </w:t>
      </w:r>
      <w:proofErr w:type="spellStart"/>
      <w:r w:rsidRPr="00AF01F1">
        <w:rPr>
          <w:lang w:val="en-US"/>
        </w:rPr>
        <w:t>metabolomics</w:t>
      </w:r>
      <w:proofErr w:type="spellEnd"/>
      <w:r>
        <w:rPr>
          <w:lang w:val="en-US"/>
        </w:rPr>
        <w:t xml:space="preserve"> in the method section and cited exemplarily our recent publication about data preprocessing</w:t>
      </w:r>
      <w:r w:rsidRPr="00AF01F1">
        <w:rPr>
          <w:lang w:val="en-US"/>
        </w:rPr>
        <w:t xml:space="preserve"> </w:t>
      </w:r>
      <w:r w:rsidRPr="00D859BD">
        <w:rPr>
          <w:lang w:val="en-US"/>
        </w:rPr>
        <w:t>(</w:t>
      </w:r>
      <w:proofErr w:type="spellStart"/>
      <w:r w:rsidRPr="00D859BD">
        <w:rPr>
          <w:color w:val="000000"/>
          <w:lang w:val="en-GB"/>
        </w:rPr>
        <w:t>Kenar</w:t>
      </w:r>
      <w:proofErr w:type="spellEnd"/>
      <w:r w:rsidRPr="00D859BD">
        <w:rPr>
          <w:color w:val="000000"/>
          <w:lang w:val="en-GB"/>
        </w:rPr>
        <w:t xml:space="preserve"> E., </w:t>
      </w:r>
      <w:r>
        <w:rPr>
          <w:color w:val="000000"/>
          <w:lang w:val="en-GB"/>
        </w:rPr>
        <w:t>et al.</w:t>
      </w:r>
      <w:r w:rsidRPr="00D859BD">
        <w:rPr>
          <w:color w:val="000000"/>
          <w:lang w:val="en-GB"/>
        </w:rPr>
        <w:t xml:space="preserve">: Automated label-free quantification of metabolites from LC-MS data. </w:t>
      </w:r>
      <w:r w:rsidRPr="00D859BD">
        <w:rPr>
          <w:i/>
          <w:iCs/>
          <w:color w:val="000000"/>
          <w:lang w:val="en-GB"/>
        </w:rPr>
        <w:t>Mol. Cell. Proteomics</w:t>
      </w:r>
      <w:r w:rsidRPr="00D859BD">
        <w:rPr>
          <w:color w:val="000000"/>
          <w:lang w:val="en-GB"/>
        </w:rPr>
        <w:t xml:space="preserve">, </w:t>
      </w:r>
      <w:r w:rsidRPr="00D859BD">
        <w:rPr>
          <w:lang w:val="en-GB"/>
        </w:rPr>
        <w:t>13: 348-359 2014</w:t>
      </w:r>
      <w:r w:rsidRPr="00D859BD">
        <w:rPr>
          <w:lang w:val="en-US"/>
        </w:rPr>
        <w:t>). Ex</w:t>
      </w:r>
      <w:r w:rsidRPr="00AF01F1">
        <w:rPr>
          <w:lang w:val="en-US"/>
        </w:rPr>
        <w:t>isting software tools for metabolite enrichment analysis are now included</w:t>
      </w:r>
      <w:r>
        <w:rPr>
          <w:lang w:val="en-US"/>
        </w:rPr>
        <w:t xml:space="preserve"> in subsection 2.2</w:t>
      </w:r>
      <w:r w:rsidRPr="00AF01F1">
        <w:rPr>
          <w:lang w:val="en-US"/>
        </w:rPr>
        <w:t>.</w:t>
      </w:r>
    </w:p>
    <w:p w:rsidR="005F7FEB" w:rsidRPr="00B17BA4" w:rsidRDefault="005F7FEB" w:rsidP="00CF730B">
      <w:pPr>
        <w:pStyle w:val="EKUTTextkrper"/>
        <w:spacing w:after="120" w:line="240" w:lineRule="auto"/>
        <w:contextualSpacing w:val="0"/>
        <w:jc w:val="both"/>
        <w:rPr>
          <w:rFonts w:cs="Times New Roman"/>
          <w:b/>
          <w:color w:val="4BACC6"/>
          <w:sz w:val="24"/>
          <w:szCs w:val="24"/>
          <w:lang w:val="en-US"/>
        </w:rPr>
      </w:pPr>
    </w:p>
    <w:p w:rsidR="005F7FEB" w:rsidRPr="00B17BA4" w:rsidRDefault="005F7FEB" w:rsidP="00CF730B">
      <w:pPr>
        <w:pStyle w:val="EKUTTextkrper"/>
        <w:spacing w:after="120" w:line="240" w:lineRule="auto"/>
        <w:contextualSpacing w:val="0"/>
        <w:jc w:val="both"/>
        <w:rPr>
          <w:rFonts w:cs="Times New Roman"/>
          <w:b/>
          <w:color w:val="4BACC6"/>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sidRPr="002F11AB">
        <w:rPr>
          <w:b/>
          <w:bCs/>
          <w:sz w:val="24"/>
          <w:szCs w:val="24"/>
          <w:lang w:val="en-GB"/>
        </w:rPr>
        <w:lastRenderedPageBreak/>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Since the main purpose of the manuscript is the integration of metabolomics data, an example application from the viewpoint of metabolomics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1"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w:t>
      </w:r>
      <w:proofErr w:type="spellStart"/>
      <w:r w:rsidRPr="00D548E9">
        <w:rPr>
          <w:lang w:val="en-US"/>
        </w:rPr>
        <w:t>catenin</w:t>
      </w:r>
      <w:proofErr w:type="spellEnd"/>
      <w:r w:rsidRPr="00D548E9">
        <w:rPr>
          <w:lang w:val="en-US"/>
        </w:rPr>
        <w:t xml:space="preserve"> </w:t>
      </w:r>
      <w:proofErr w:type="spellStart"/>
      <w:r w:rsidRPr="00D548E9">
        <w:rPr>
          <w:lang w:val="en-US"/>
        </w:rPr>
        <w:t>oncoproteins</w:t>
      </w:r>
      <w:proofErr w:type="spellEnd"/>
      <w:r w:rsidRPr="00D548E9">
        <w:rPr>
          <w:lang w:val="en-US"/>
        </w:rPr>
        <w:t xml:space="preserve"> in mo</w:t>
      </w:r>
      <w:r w:rsidR="000173C3">
        <w:rPr>
          <w:lang w:val="en-US"/>
        </w:rPr>
        <w:t>use liver tumors” was recently published</w:t>
      </w:r>
      <w:r w:rsidRPr="00D548E9">
        <w:rPr>
          <w:lang w:val="en-US"/>
        </w:rPr>
        <w:t xml:space="preserve">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w:t>
      </w:r>
      <w:proofErr w:type="spellStart"/>
      <w:r w:rsidRPr="00D548E9">
        <w:rPr>
          <w:lang w:val="en-US"/>
        </w:rPr>
        <w:t>metabolomics</w:t>
      </w:r>
      <w:proofErr w:type="spellEnd"/>
      <w:r w:rsidRPr="00D548E9">
        <w:rPr>
          <w:lang w:val="en-US"/>
        </w:rPr>
        <w:t xml:space="preserve"> data obtained from mouse liver tumors differing in their mutation status. As proposed by Reviewer 2 this work is now cited and shortly explained in the revised version of the </w:t>
      </w:r>
      <w:r w:rsidR="00B778D8" w:rsidRPr="00D548E9">
        <w:rPr>
          <w:lang w:val="en-US"/>
        </w:rPr>
        <w:t>manuscript</w:t>
      </w:r>
      <w:r w:rsidR="00B778D8">
        <w:rPr>
          <w:lang w:val="en-US"/>
        </w:rPr>
        <w:t xml:space="preserve"> (p. 4, subsection 2.3)</w:t>
      </w:r>
      <w:r w:rsidRPr="00D548E9">
        <w:rPr>
          <w:lang w:val="en-US"/>
        </w:rPr>
        <w:t xml:space="preserve">.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metabolomics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w:t>
      </w:r>
      <w:proofErr w:type="spellStart"/>
      <w:r w:rsidRPr="00D548E9">
        <w:rPr>
          <w:i/>
          <w:color w:val="C00000"/>
          <w:lang w:val="en-US"/>
        </w:rPr>
        <w:t>metabolomics</w:t>
      </w:r>
      <w:proofErr w:type="spellEnd"/>
      <w:r w:rsidRPr="00D548E9">
        <w:rPr>
          <w:i/>
          <w:color w:val="C00000"/>
          <w:lang w:val="en-US"/>
        </w:rPr>
        <w:t xml:space="preserve">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36253C" w:rsidRDefault="00245400" w:rsidP="00CF730B">
      <w:pPr>
        <w:spacing w:before="120" w:after="120" w:line="240" w:lineRule="auto"/>
        <w:jc w:val="both"/>
        <w:rPr>
          <w:lang w:val="en-US"/>
        </w:rPr>
      </w:pPr>
      <w:r>
        <w:rPr>
          <w:lang w:val="en-US"/>
        </w:rPr>
        <w:t xml:space="preserve">We agree with Reviewer 2 that a more detailed comparison with existing tools should be part of the manuscript. Thus, besides a detailed comparison to the enrichment methods of </w:t>
      </w:r>
      <w:proofErr w:type="spellStart"/>
      <w:r>
        <w:rPr>
          <w:lang w:val="en-US"/>
        </w:rPr>
        <w:t>Paintomics</w:t>
      </w:r>
      <w:proofErr w:type="spellEnd"/>
      <w:r>
        <w:rPr>
          <w:lang w:val="en-US"/>
        </w:rPr>
        <w:t xml:space="preserve"> and </w:t>
      </w:r>
      <w:proofErr w:type="spellStart"/>
      <w:r>
        <w:rPr>
          <w:lang w:val="en-US"/>
        </w:rPr>
        <w:t>IMPaLA</w:t>
      </w:r>
      <w:proofErr w:type="spellEnd"/>
      <w:r>
        <w:rPr>
          <w:lang w:val="en-US"/>
        </w:rPr>
        <w:t xml:space="preserve"> in subsection 2.2, we compiled a table that summarizes the features of </w:t>
      </w:r>
      <w:proofErr w:type="spellStart"/>
      <w:r>
        <w:rPr>
          <w:lang w:val="en-US"/>
        </w:rPr>
        <w:t>InCroMAP</w:t>
      </w:r>
      <w:proofErr w:type="spellEnd"/>
      <w:r>
        <w:rPr>
          <w:lang w:val="en-US"/>
        </w:rPr>
        <w:t xml:space="preserve"> in comparison with the existing tools </w:t>
      </w:r>
      <w:proofErr w:type="spellStart"/>
      <w:r>
        <w:rPr>
          <w:lang w:val="en-US"/>
        </w:rPr>
        <w:t>MassTRIX</w:t>
      </w:r>
      <w:proofErr w:type="spellEnd"/>
      <w:r>
        <w:rPr>
          <w:lang w:val="en-US"/>
        </w:rPr>
        <w:t xml:space="preserve">, </w:t>
      </w:r>
      <w:proofErr w:type="spellStart"/>
      <w:r>
        <w:rPr>
          <w:lang w:val="en-US"/>
        </w:rPr>
        <w:t>IMPaLA</w:t>
      </w:r>
      <w:proofErr w:type="spellEnd"/>
      <w:r>
        <w:rPr>
          <w:lang w:val="en-US"/>
        </w:rPr>
        <w:t xml:space="preserve">, and </w:t>
      </w:r>
      <w:proofErr w:type="spellStart"/>
      <w:r>
        <w:rPr>
          <w:lang w:val="en-US"/>
        </w:rPr>
        <w:t>Paintomics</w:t>
      </w:r>
      <w:proofErr w:type="spellEnd"/>
      <w:r>
        <w:rPr>
          <w:lang w:val="en-US"/>
        </w:rPr>
        <w:t xml:space="preserve">. </w:t>
      </w:r>
      <w:r w:rsidR="0036253C">
        <w:rPr>
          <w:lang w:val="en-US"/>
        </w:rPr>
        <w:t>A short discussion of the differences between the tools is included in section 3.</w:t>
      </w:r>
    </w:p>
    <w:p w:rsidR="00233875" w:rsidRPr="00D548E9" w:rsidRDefault="00020482" w:rsidP="00CF730B">
      <w:pPr>
        <w:spacing w:before="120" w:after="120" w:line="240" w:lineRule="auto"/>
        <w:jc w:val="both"/>
        <w:rPr>
          <w:lang w:val="en-US"/>
        </w:rPr>
      </w:pPr>
      <w:proofErr w:type="spellStart"/>
      <w:r>
        <w:rPr>
          <w:lang w:val="en-US"/>
        </w:rPr>
        <w:t>Paintomics</w:t>
      </w:r>
      <w:proofErr w:type="spellEnd"/>
      <w:r>
        <w:rPr>
          <w:lang w:val="en-US"/>
        </w:rPr>
        <w:t xml:space="preserve"> is most similar compared to </w:t>
      </w:r>
      <w:proofErr w:type="spellStart"/>
      <w:r>
        <w:rPr>
          <w:lang w:val="en-US"/>
        </w:rPr>
        <w:t>InCroMAP</w:t>
      </w:r>
      <w:proofErr w:type="spellEnd"/>
      <w:r>
        <w:rPr>
          <w:lang w:val="en-US"/>
        </w:rPr>
        <w:t>. However</w:t>
      </w:r>
      <w:r w:rsidR="005447D3">
        <w:rPr>
          <w:lang w:val="en-US"/>
        </w:rPr>
        <w:t>,</w:t>
      </w:r>
      <w:bookmarkStart w:id="0" w:name="_GoBack"/>
      <w:bookmarkEnd w:id="0"/>
      <w:r w:rsidR="00887561">
        <w:rPr>
          <w:lang w:val="en-US"/>
        </w:rPr>
        <w:t xml:space="preserve"> as web-service </w:t>
      </w:r>
      <w:r>
        <w:rPr>
          <w:lang w:val="en-US"/>
        </w:rPr>
        <w:t>it does not support an interactive analysis</w:t>
      </w:r>
      <w:r w:rsidR="00887561">
        <w:rPr>
          <w:lang w:val="en-US"/>
        </w:rPr>
        <w:t xml:space="preserve"> of the data</w:t>
      </w:r>
      <w:r>
        <w:rPr>
          <w:lang w:val="en-US"/>
        </w:rPr>
        <w:t xml:space="preserve">, which allows for </w:t>
      </w:r>
      <w:r w:rsidR="00887561">
        <w:rPr>
          <w:lang w:val="en-US"/>
        </w:rPr>
        <w:t>browsing</w:t>
      </w:r>
      <w:r>
        <w:rPr>
          <w:lang w:val="en-US"/>
        </w:rPr>
        <w:t xml:space="preserve"> through the different pathways.</w:t>
      </w:r>
      <w:r w:rsidR="00887561">
        <w:rPr>
          <w:lang w:val="en-US"/>
        </w:rPr>
        <w:t xml:space="preserve"> </w:t>
      </w:r>
      <w:proofErr w:type="spellStart"/>
      <w:r w:rsidR="00887561">
        <w:rPr>
          <w:lang w:val="en-US"/>
        </w:rPr>
        <w:t>MassTRIX</w:t>
      </w:r>
      <w:proofErr w:type="spellEnd"/>
      <w:r w:rsidR="00887561">
        <w:rPr>
          <w:lang w:val="en-US"/>
        </w:rPr>
        <w:t xml:space="preserve"> can annotate metabolic features (mass and retention time) with candidate identifiers, but it does not have an integrated enrichment analysis and cannot perform a gradual coloring based on the abundance profiles. </w:t>
      </w:r>
      <w:proofErr w:type="spellStart"/>
      <w:r w:rsidR="00887561">
        <w:rPr>
          <w:lang w:val="en-US"/>
        </w:rPr>
        <w:t>IMPaLA</w:t>
      </w:r>
      <w:proofErr w:type="spellEnd"/>
      <w:r w:rsidR="00887561">
        <w:rPr>
          <w:lang w:val="en-US"/>
        </w:rPr>
        <w:t xml:space="preserve"> has the most advanced enrichment analysis, but does not support probe-level data and does not provide any means of visualization. </w:t>
      </w:r>
      <w:r w:rsidR="00233875" w:rsidRPr="00D548E9">
        <w:rPr>
          <w:lang w:val="en-US"/>
        </w:rPr>
        <w:t xml:space="preserve">Furthermore, </w:t>
      </w:r>
      <w:proofErr w:type="spellStart"/>
      <w:r w:rsidR="00233875" w:rsidRPr="00D548E9">
        <w:rPr>
          <w:lang w:val="en-US"/>
        </w:rPr>
        <w:t>InCroMAP</w:t>
      </w:r>
      <w:proofErr w:type="spellEnd"/>
      <w:r w:rsidR="00233875" w:rsidRPr="00D548E9">
        <w:rPr>
          <w:lang w:val="en-US"/>
        </w:rPr>
        <w:t xml:space="preserve"> provides unique features for data analysis and visualization which are not of</w:t>
      </w:r>
      <w:r>
        <w:rPr>
          <w:lang w:val="en-US"/>
        </w:rPr>
        <w:t>fered by any published software.</w:t>
      </w:r>
      <w:r w:rsidR="00233875" w:rsidRPr="00D548E9">
        <w:rPr>
          <w:lang w:val="en-US"/>
        </w:rPr>
        <w:t xml:space="preserve">  Most notably, a structured, global view of the changes in cellular metabolism can be generated by using the metabolic overview feature provided by </w:t>
      </w:r>
      <w:proofErr w:type="spellStart"/>
      <w:r w:rsidR="00233875" w:rsidRPr="00D548E9">
        <w:rPr>
          <w:lang w:val="en-US"/>
        </w:rPr>
        <w:t>InCroMAP</w:t>
      </w:r>
      <w:proofErr w:type="spellEnd"/>
      <w:r w:rsidR="00233875" w:rsidRPr="00D548E9">
        <w:rPr>
          <w:lang w:val="en-US"/>
        </w:rPr>
        <w:t xml:space="preserve"> (shown in Figure 2B). While </w:t>
      </w:r>
      <w:proofErr w:type="spellStart"/>
      <w:r w:rsidR="00233875" w:rsidRPr="00D548E9">
        <w:rPr>
          <w:lang w:val="en-US"/>
        </w:rPr>
        <w:t>InCroMAP</w:t>
      </w:r>
      <w:proofErr w:type="spellEnd"/>
      <w:r w:rsidR="00233875" w:rsidRPr="00D548E9">
        <w:rPr>
          <w:lang w:val="en-US"/>
        </w:rPr>
        <w:t xml:space="preserve"> facilitates the integrated analysis of </w:t>
      </w:r>
      <w:proofErr w:type="spellStart"/>
      <w:r w:rsidR="00233875" w:rsidRPr="00D548E9">
        <w:rPr>
          <w:lang w:val="en-US"/>
        </w:rPr>
        <w:t>metabolomics</w:t>
      </w:r>
      <w:proofErr w:type="spellEnd"/>
      <w:r w:rsidR="00233875" w:rsidRPr="00D548E9">
        <w:rPr>
          <w:lang w:val="en-US"/>
        </w:rPr>
        <w:t xml:space="preserve">, mRNA, </w:t>
      </w:r>
      <w:proofErr w:type="spellStart"/>
      <w:r w:rsidR="00233875" w:rsidRPr="00D548E9">
        <w:rPr>
          <w:lang w:val="en-US"/>
        </w:rPr>
        <w:t>miRNA</w:t>
      </w:r>
      <w:proofErr w:type="spellEnd"/>
      <w:r w:rsidR="00233875" w:rsidRPr="00D548E9">
        <w:rPr>
          <w:lang w:val="en-US"/>
        </w:rPr>
        <w:t xml:space="preserve">, protein and DNA methylation data, other pathway analysis tools are limited to either solely metabolomics data (e.g., MSEA, </w:t>
      </w:r>
      <w:proofErr w:type="spellStart"/>
      <w:r w:rsidR="00233875" w:rsidRPr="00D548E9">
        <w:rPr>
          <w:lang w:val="en-US"/>
        </w:rPr>
        <w:t>MBRole</w:t>
      </w:r>
      <w:proofErr w:type="spellEnd"/>
      <w:r w:rsidR="00233875" w:rsidRPr="00D548E9">
        <w:rPr>
          <w:lang w:val="en-US"/>
        </w:rPr>
        <w:t xml:space="preserve">, MPEA) or facilitate the integration with only one other platform (e.g., </w:t>
      </w:r>
      <w:proofErr w:type="spellStart"/>
      <w:r w:rsidR="00233875" w:rsidRPr="00D548E9">
        <w:rPr>
          <w:lang w:val="en-US"/>
        </w:rPr>
        <w:t>IMPaLA</w:t>
      </w:r>
      <w:proofErr w:type="spellEnd"/>
      <w:r w:rsidR="00913578">
        <w:rPr>
          <w:lang w:val="en-US"/>
        </w:rPr>
        <w:t xml:space="preserve">, </w:t>
      </w:r>
      <w:proofErr w:type="spellStart"/>
      <w:r w:rsidR="00913578">
        <w:rPr>
          <w:lang w:val="en-US"/>
        </w:rPr>
        <w:t>Paintomics</w:t>
      </w:r>
      <w:proofErr w:type="spellEnd"/>
      <w:r w:rsidR="00E915D6">
        <w:rPr>
          <w:lang w:val="en-US"/>
        </w:rPr>
        <w:t xml:space="preserve">, </w:t>
      </w:r>
      <w:proofErr w:type="spellStart"/>
      <w:r w:rsidR="00E915D6">
        <w:rPr>
          <w:lang w:val="en-US"/>
        </w:rPr>
        <w:t>MassTRIX</w:t>
      </w:r>
      <w:proofErr w:type="spellEnd"/>
      <w:r w:rsidR="00233875"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B17BA4" w:rsidRDefault="00233875" w:rsidP="00CF730B">
      <w:pPr>
        <w:spacing w:before="120" w:after="120" w:line="240" w:lineRule="auto"/>
        <w:jc w:val="both"/>
        <w:rPr>
          <w:i/>
          <w:color w:val="4BACC6"/>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B17BA4">
        <w:rPr>
          <w:i/>
          <w:color w:val="4BACC6"/>
          <w:lang w:val="en-US"/>
        </w:rPr>
        <w:t>.</w:t>
      </w:r>
    </w:p>
    <w:p w:rsidR="00295AAC"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w:t>
      </w:r>
      <w:r w:rsidRPr="00D548E9">
        <w:rPr>
          <w:lang w:val="en-US"/>
        </w:rPr>
        <w:lastRenderedPageBreak/>
        <w:t xml:space="preserve">confirmed </w:t>
      </w:r>
      <w:proofErr w:type="spellStart"/>
      <w:r w:rsidRPr="00D548E9">
        <w:rPr>
          <w:lang w:val="en-US"/>
        </w:rPr>
        <w:t>miRNA</w:t>
      </w:r>
      <w:proofErr w:type="spellEnd"/>
      <w:r w:rsidRPr="00D548E9">
        <w:rPr>
          <w:lang w:val="en-US"/>
        </w:rPr>
        <w:t>-mRNA interactions.</w:t>
      </w:r>
      <w:r w:rsidR="00283C08">
        <w:rPr>
          <w:lang w:val="en-US"/>
        </w:rPr>
        <w:t xml:space="preserve"> </w:t>
      </w:r>
      <w:r w:rsidR="00295AAC" w:rsidRPr="00295AAC">
        <w:rPr>
          <w:lang w:val="en-US"/>
        </w:rPr>
        <w:t xml:space="preserve">As </w:t>
      </w:r>
      <w:r w:rsidR="00295AAC">
        <w:rPr>
          <w:lang w:val="en-US"/>
        </w:rPr>
        <w:t>for</w:t>
      </w:r>
      <w:r w:rsidR="00295AAC" w:rsidRPr="00295AAC">
        <w:rPr>
          <w:lang w:val="en-US"/>
        </w:rPr>
        <w:t xml:space="preserve"> gene identifiers, </w:t>
      </w:r>
      <w:proofErr w:type="spellStart"/>
      <w:r w:rsidR="00295AAC" w:rsidRPr="00295AAC">
        <w:rPr>
          <w:lang w:val="en-US"/>
        </w:rPr>
        <w:t>InCroMAP</w:t>
      </w:r>
      <w:proofErr w:type="spellEnd"/>
      <w:r w:rsidR="00295AAC" w:rsidRPr="00295AAC">
        <w:rPr>
          <w:lang w:val="en-US"/>
        </w:rPr>
        <w:t xml:space="preserve"> can automatically</w:t>
      </w:r>
      <w:r w:rsidR="00295AAC">
        <w:rPr>
          <w:lang w:val="en-US"/>
        </w:rPr>
        <w:t xml:space="preserve"> recognize </w:t>
      </w:r>
      <w:r w:rsidR="000173C3">
        <w:rPr>
          <w:lang w:val="en-US"/>
        </w:rPr>
        <w:t xml:space="preserve">metabolite </w:t>
      </w:r>
      <w:r w:rsidR="00295AAC">
        <w:rPr>
          <w:lang w:val="en-US"/>
        </w:rPr>
        <w:t>identifiers of sever</w:t>
      </w:r>
      <w:r w:rsidR="00295AAC" w:rsidRPr="00295AAC">
        <w:rPr>
          <w:lang w:val="en-US"/>
        </w:rPr>
        <w:t xml:space="preserve">al different </w:t>
      </w:r>
      <w:r w:rsidR="00295AAC">
        <w:rPr>
          <w:lang w:val="en-US"/>
        </w:rPr>
        <w:t>databases.</w:t>
      </w:r>
      <w:r w:rsidR="005148C6">
        <w:rPr>
          <w:lang w:val="en-US"/>
        </w:rPr>
        <w:t xml:space="preserve"> While we do not support automatic annotation of metabolite features, like </w:t>
      </w:r>
      <w:proofErr w:type="spellStart"/>
      <w:r w:rsidR="005148C6">
        <w:rPr>
          <w:lang w:val="en-US"/>
        </w:rPr>
        <w:t>MassTRIX</w:t>
      </w:r>
      <w:proofErr w:type="spellEnd"/>
      <w:r w:rsidR="005148C6">
        <w:rPr>
          <w:lang w:val="en-US"/>
        </w:rPr>
        <w:t>, we tried to support as much identifiers as possible by merging</w:t>
      </w:r>
      <w:r w:rsidR="00295AAC">
        <w:rPr>
          <w:lang w:val="en-US"/>
        </w:rPr>
        <w:t xml:space="preserve"> the metabolite identifier information of </w:t>
      </w:r>
      <w:r w:rsidR="005148C6">
        <w:rPr>
          <w:lang w:val="en-US"/>
        </w:rPr>
        <w:t>four</w:t>
      </w:r>
      <w:r w:rsidR="00295AAC">
        <w:rPr>
          <w:lang w:val="en-US"/>
        </w:rPr>
        <w:t xml:space="preserve"> large compound databases: HMDB, LIPIDMAPS, </w:t>
      </w:r>
      <w:r w:rsidR="005148C6">
        <w:rPr>
          <w:lang w:val="en-US"/>
        </w:rPr>
        <w:t xml:space="preserve">KEGG, </w:t>
      </w:r>
      <w:r w:rsidR="00295AAC">
        <w:rPr>
          <w:lang w:val="en-US"/>
        </w:rPr>
        <w:t>and PubChem.</w:t>
      </w:r>
      <w:r w:rsidR="00283C08">
        <w:rPr>
          <w:lang w:val="en-US"/>
        </w:rPr>
        <w:t xml:space="preserve"> More information on the generation of the mapping database can now be found in subsection 2.2.</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4) 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Default="00233875" w:rsidP="00CF730B">
      <w:pPr>
        <w:spacing w:before="120" w:line="240" w:lineRule="auto"/>
        <w:jc w:val="both"/>
        <w:rPr>
          <w:lang w:val="en-US"/>
        </w:rPr>
      </w:pPr>
      <w:r w:rsidRPr="00D548E9">
        <w:rPr>
          <w:lang w:val="en-US"/>
        </w:rPr>
        <w:t xml:space="preserve">We thank Reviewer 2 for this critical remark. To the best of our knowledge only </w:t>
      </w:r>
      <w:r w:rsidR="00772197">
        <w:rPr>
          <w:lang w:val="en-US"/>
        </w:rPr>
        <w:t>two other programs</w:t>
      </w:r>
      <w:r w:rsidRPr="00D548E9">
        <w:rPr>
          <w:lang w:val="en-US"/>
        </w:rPr>
        <w:t xml:space="preserve"> (</w:t>
      </w:r>
      <w:proofErr w:type="spellStart"/>
      <w:r w:rsidRPr="00D548E9">
        <w:rPr>
          <w:lang w:val="en-US"/>
        </w:rPr>
        <w:t>IMPaLA</w:t>
      </w:r>
      <w:proofErr w:type="spellEnd"/>
      <w:r w:rsidR="000173C3">
        <w:rPr>
          <w:lang w:val="en-US"/>
        </w:rPr>
        <w:t xml:space="preserve">, </w:t>
      </w:r>
      <w:proofErr w:type="spellStart"/>
      <w:r w:rsidR="00772197">
        <w:rPr>
          <w:lang w:val="en-US"/>
        </w:rPr>
        <w:t>Paintomics</w:t>
      </w:r>
      <w:proofErr w:type="spellEnd"/>
      <w:r w:rsidR="00772197">
        <w:rPr>
          <w:lang w:val="en-US"/>
        </w:rPr>
        <w:t>) exist which are</w:t>
      </w:r>
      <w:r w:rsidR="000173C3">
        <w:rPr>
          <w:lang w:val="en-US"/>
        </w:rPr>
        <w:t xml:space="preserve"> capable of</w:t>
      </w:r>
      <w:r w:rsidRPr="00D548E9">
        <w:rPr>
          <w:lang w:val="en-US"/>
        </w:rPr>
        <w:t xml:space="preserve"> integrating both </w:t>
      </w:r>
      <w:proofErr w:type="spellStart"/>
      <w:r w:rsidRPr="00D548E9">
        <w:rPr>
          <w:lang w:val="en-US"/>
        </w:rPr>
        <w:t>transcriptomics</w:t>
      </w:r>
      <w:proofErr w:type="spellEnd"/>
      <w:r w:rsidRPr="00D548E9">
        <w:rPr>
          <w:lang w:val="en-US"/>
        </w:rPr>
        <w:t xml:space="preserve"> and </w:t>
      </w:r>
      <w:proofErr w:type="spellStart"/>
      <w:r w:rsidRPr="00D548E9">
        <w:rPr>
          <w:lang w:val="en-US"/>
        </w:rPr>
        <w:t>metabolomics</w:t>
      </w:r>
      <w:proofErr w:type="spellEnd"/>
      <w:r w:rsidRPr="00D548E9">
        <w:rPr>
          <w:lang w:val="en-US"/>
        </w:rPr>
        <w:t xml:space="preserve">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t>
      </w:r>
      <w:proofErr w:type="spellStart"/>
      <w:r w:rsidRPr="00D548E9">
        <w:rPr>
          <w:lang w:val="en-US"/>
        </w:rPr>
        <w:t>Wilcoxon</w:t>
      </w:r>
      <w:proofErr w:type="spellEnd"/>
      <w:r w:rsidRPr="00D548E9">
        <w:rPr>
          <w:lang w:val="en-US"/>
        </w:rPr>
        <w:t xml:space="preserve"> enrichment analysis. Then, as the experiments are considered independent, the joint p-value is computed based on the product of the p-values calculated for the individual platforms. </w:t>
      </w:r>
      <w:proofErr w:type="spellStart"/>
      <w:r w:rsidR="00CA226A">
        <w:rPr>
          <w:lang w:val="en-US"/>
        </w:rPr>
        <w:t>Paintomics</w:t>
      </w:r>
      <w:proofErr w:type="spellEnd"/>
      <w:r w:rsidR="00CA226A">
        <w:rPr>
          <w:lang w:val="en-US"/>
        </w:rPr>
        <w:t xml:space="preserve"> also uses a </w:t>
      </w:r>
      <w:proofErr w:type="spellStart"/>
      <w:r w:rsidR="00CA226A">
        <w:rPr>
          <w:lang w:val="en-US"/>
        </w:rPr>
        <w:t>hypergeometric</w:t>
      </w:r>
      <w:proofErr w:type="spellEnd"/>
      <w:r w:rsidR="00CA226A">
        <w:rPr>
          <w:lang w:val="en-US"/>
        </w:rPr>
        <w:t xml:space="preserve"> test and calculates one final p-value. However, the details remain unclear from the publication. In contrast to </w:t>
      </w:r>
      <w:proofErr w:type="spellStart"/>
      <w:r w:rsidR="00CA226A">
        <w:rPr>
          <w:lang w:val="en-US"/>
        </w:rPr>
        <w:t>IMPaLA</w:t>
      </w:r>
      <w:proofErr w:type="spellEnd"/>
      <w:r w:rsidRPr="00D548E9">
        <w:rPr>
          <w:lang w:val="en-US"/>
        </w:rPr>
        <w:t xml:space="preserve">,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00CA226A">
        <w:rPr>
          <w:lang w:val="en-US"/>
        </w:rPr>
        <w:t xml:space="preserve">, </w:t>
      </w:r>
      <w:proofErr w:type="spellStart"/>
      <w:r w:rsidR="00CA226A">
        <w:rPr>
          <w:lang w:val="en-US"/>
        </w:rPr>
        <w:t>Paintomics</w:t>
      </w:r>
      <w:proofErr w:type="spellEnd"/>
      <w:r w:rsidR="00CA226A">
        <w:rPr>
          <w:lang w:val="en-US"/>
        </w:rPr>
        <w:t>, and</w:t>
      </w:r>
      <w:r w:rsidRPr="00D548E9">
        <w:rPr>
          <w:lang w:val="en-US"/>
        </w:rPr>
        <w:t xml:space="preserve"> </w:t>
      </w:r>
      <w:proofErr w:type="spellStart"/>
      <w:r w:rsidRPr="00D548E9">
        <w:rPr>
          <w:lang w:val="en-US"/>
        </w:rPr>
        <w:t>IMPaLA</w:t>
      </w:r>
      <w:proofErr w:type="spellEnd"/>
      <w:r w:rsidRPr="00D548E9">
        <w:rPr>
          <w:lang w:val="en-US"/>
        </w:rPr>
        <w:t xml:space="preserve"> algorithm</w:t>
      </w:r>
      <w:r w:rsidR="00CA226A">
        <w:rPr>
          <w:lang w:val="en-US"/>
        </w:rPr>
        <w:t>s</w:t>
      </w:r>
      <w:r w:rsidRPr="00D548E9">
        <w:rPr>
          <w:lang w:val="en-US"/>
        </w:rPr>
        <w:t xml:space="preserve"> for cross-platform enrichments are now explained comprehensively in the revised version of the manuscript</w:t>
      </w:r>
      <w:r w:rsidR="00B778D8">
        <w:rPr>
          <w:lang w:val="en-US"/>
        </w:rPr>
        <w:t xml:space="preserve"> (subsection 2.2)</w:t>
      </w:r>
      <w:r w:rsidRPr="00D548E9">
        <w:rPr>
          <w:lang w:val="en-US"/>
        </w:rPr>
        <w:t>.</w:t>
      </w:r>
    </w:p>
    <w:p w:rsidR="00652C91" w:rsidRDefault="00652C91" w:rsidP="008E050B">
      <w:pPr>
        <w:spacing w:before="120" w:line="240" w:lineRule="auto"/>
        <w:jc w:val="both"/>
        <w:rPr>
          <w:lang w:val="en-US"/>
        </w:rPr>
      </w:pPr>
      <w:r>
        <w:rPr>
          <w:lang w:val="en-US"/>
        </w:rPr>
        <w:t xml:space="preserve">In general </w:t>
      </w:r>
      <w:proofErr w:type="spellStart"/>
      <w:r w:rsidR="008E050B">
        <w:rPr>
          <w:lang w:val="en-US"/>
        </w:rPr>
        <w:t>InCroMAP</w:t>
      </w:r>
      <w:proofErr w:type="spellEnd"/>
      <w:r w:rsidR="008E050B">
        <w:rPr>
          <w:lang w:val="en-US"/>
        </w:rPr>
        <w:t xml:space="preserve"> is not limited to targeted metabolomics data. However, assigning multiple candidate identifiers to metabolic features using mass and retention time usually results in many-to-many mappings</w:t>
      </w:r>
      <w:r w:rsidR="008E050B" w:rsidRPr="008E050B">
        <w:rPr>
          <w:lang w:val="en-US"/>
        </w:rPr>
        <w:t xml:space="preserve"> because</w:t>
      </w:r>
      <w:r w:rsidR="008E050B">
        <w:rPr>
          <w:lang w:val="en-US"/>
        </w:rPr>
        <w:t xml:space="preserve"> </w:t>
      </w:r>
      <w:r w:rsidR="008E050B" w:rsidRPr="008E050B">
        <w:rPr>
          <w:lang w:val="en-US"/>
        </w:rPr>
        <w:t>a metabolic feature can be mapped to several candidate</w:t>
      </w:r>
      <w:r w:rsidR="008E050B">
        <w:rPr>
          <w:lang w:val="en-US"/>
        </w:rPr>
        <w:t xml:space="preserve"> </w:t>
      </w:r>
      <w:r w:rsidR="008E050B" w:rsidRPr="008E050B">
        <w:rPr>
          <w:lang w:val="en-US"/>
        </w:rPr>
        <w:t>identifiers and vice versa</w:t>
      </w:r>
      <w:r>
        <w:rPr>
          <w:lang w:val="en-US"/>
        </w:rPr>
        <w:t>.</w:t>
      </w:r>
      <w:r w:rsidR="008E050B">
        <w:rPr>
          <w:lang w:val="en-US"/>
        </w:rPr>
        <w:t xml:space="preserve"> These many-to-many mappings are problematic for the overrepresentation analysis used by </w:t>
      </w:r>
      <w:proofErr w:type="spellStart"/>
      <w:r w:rsidR="008E050B">
        <w:rPr>
          <w:lang w:val="en-US"/>
        </w:rPr>
        <w:t>InCroMAP</w:t>
      </w:r>
      <w:proofErr w:type="spellEnd"/>
      <w:r w:rsidR="008E050B">
        <w:rPr>
          <w:lang w:val="en-US"/>
        </w:rPr>
        <w:t>. The visualizati</w:t>
      </w:r>
      <w:r w:rsidR="000173C3">
        <w:rPr>
          <w:lang w:val="en-US"/>
        </w:rPr>
        <w:t>on itself is also applicable to</w:t>
      </w:r>
      <w:r w:rsidR="008E050B">
        <w:rPr>
          <w:lang w:val="en-US"/>
        </w:rPr>
        <w:t xml:space="preserve"> </w:t>
      </w:r>
      <w:proofErr w:type="spellStart"/>
      <w:r w:rsidR="008E050B">
        <w:rPr>
          <w:lang w:val="en-US"/>
        </w:rPr>
        <w:t>nontargeted</w:t>
      </w:r>
      <w:proofErr w:type="spellEnd"/>
      <w:r w:rsidR="008E050B">
        <w:rPr>
          <w:lang w:val="en-US"/>
        </w:rPr>
        <w:t xml:space="preserve"> data. The revised manuscript explains the problem of </w:t>
      </w:r>
      <w:proofErr w:type="spellStart"/>
      <w:r w:rsidR="008E050B">
        <w:rPr>
          <w:lang w:val="en-US"/>
        </w:rPr>
        <w:t>nontargeted</w:t>
      </w:r>
      <w:proofErr w:type="spellEnd"/>
      <w:r w:rsidR="008E050B">
        <w:rPr>
          <w:lang w:val="en-US"/>
        </w:rPr>
        <w:t xml:space="preserve"> data and the resulting many-to-many mappings in more detail in subsection 2.2.</w:t>
      </w:r>
    </w:p>
    <w:p w:rsidR="008E050B" w:rsidRPr="00D548E9" w:rsidRDefault="008E050B" w:rsidP="008E050B">
      <w:pPr>
        <w:spacing w:before="120" w:line="240" w:lineRule="auto"/>
        <w:jc w:val="both"/>
        <w:rPr>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w:t>
      </w:r>
      <w:proofErr w:type="spellStart"/>
      <w:r w:rsidRPr="00D548E9">
        <w:rPr>
          <w:lang w:val="en-US"/>
        </w:rPr>
        <w:t>metabolomics</w:t>
      </w:r>
      <w:proofErr w:type="spellEnd"/>
      <w:r w:rsidRPr="00D548E9">
        <w:rPr>
          <w:lang w:val="en-US"/>
        </w:rPr>
        <w:t xml:space="preserve">,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metabolomics data visualization, we agree with Reviewer 2 that it is more appropriate to show a metabolic pathway in Figure 2B. The Figure was now updated and depicts the </w:t>
      </w:r>
      <w:r w:rsidRPr="00D548E9">
        <w:rPr>
          <w:lang w:val="en-US"/>
        </w:rPr>
        <w:lastRenderedPageBreak/>
        <w:t xml:space="preserve">KEGG pathway “Glycolysis / Gluconeogenesis”.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 xml:space="preserve">-mutated mouse liver tumors. As stated previously the corresponding manuscript was recently </w:t>
      </w:r>
      <w:r w:rsidR="00715CF0">
        <w:rPr>
          <w:lang w:val="en-US"/>
        </w:rPr>
        <w:t>published</w:t>
      </w:r>
      <w:r w:rsidRPr="00D548E9">
        <w:rPr>
          <w:lang w:val="en-US"/>
        </w:rPr>
        <w:t xml:space="preserve"> by the International Journal of Cancer and was added to the submission for the sake of completeness.</w:t>
      </w: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C47A9A" w:rsidRPr="00D548E9" w:rsidRDefault="00233875" w:rsidP="00C47A9A">
      <w:pPr>
        <w:spacing w:before="120" w:after="120" w:line="240" w:lineRule="auto"/>
        <w:jc w:val="both"/>
        <w:rPr>
          <w:i/>
          <w:color w:val="C00000"/>
          <w:lang w:val="en-US"/>
        </w:rPr>
      </w:pPr>
      <w:r w:rsidRPr="00D548E9">
        <w:rPr>
          <w:i/>
          <w:color w:val="C00000"/>
          <w:lang w:val="en-US"/>
        </w:rPr>
        <w:t>2) I would also like to know how they implemented the metabolite database for mapping between the different identifiers. This is important, because a lot of people are struggling with harmonizing different metabolomics databases</w:t>
      </w:r>
      <w:r w:rsidR="00C47A9A">
        <w:rPr>
          <w:i/>
          <w:color w:val="C00000"/>
          <w:lang w:val="en-US"/>
        </w:rPr>
        <w:t>.</w:t>
      </w:r>
      <w:r w:rsidR="00C47A9A" w:rsidRPr="00C47A9A">
        <w:rPr>
          <w:i/>
          <w:color w:val="C00000"/>
          <w:lang w:val="en-US"/>
        </w:rPr>
        <w:t xml:space="preserve"> </w:t>
      </w:r>
    </w:p>
    <w:p w:rsidR="00233875" w:rsidRPr="00913578" w:rsidRDefault="00F94B39" w:rsidP="00C21B00">
      <w:pPr>
        <w:spacing w:before="120" w:after="120" w:line="240" w:lineRule="auto"/>
        <w:jc w:val="both"/>
        <w:rPr>
          <w:color w:val="0070C0"/>
          <w:lang w:val="en-US"/>
        </w:rPr>
      </w:pPr>
      <w:r w:rsidRPr="00D548E9">
        <w:rPr>
          <w:lang w:val="en-US"/>
        </w:rPr>
        <w:t xml:space="preserve">We thank Reviewer </w:t>
      </w:r>
      <w:r>
        <w:rPr>
          <w:lang w:val="en-US"/>
        </w:rPr>
        <w:t>3</w:t>
      </w:r>
      <w:r w:rsidRPr="00D548E9">
        <w:rPr>
          <w:lang w:val="en-US"/>
        </w:rPr>
        <w:t xml:space="preserve"> for this remark</w:t>
      </w:r>
      <w:r>
        <w:rPr>
          <w:lang w:val="en-US"/>
        </w:rPr>
        <w:t>. Indeed, the generation of an internal metabolite identifier database for the mapping between different iden</w:t>
      </w:r>
      <w:r w:rsidR="002477DA">
        <w:rPr>
          <w:lang w:val="en-US"/>
        </w:rPr>
        <w:t xml:space="preserve">tifiers was possibly one of the </w:t>
      </w:r>
      <w:r>
        <w:rPr>
          <w:lang w:val="en-US"/>
        </w:rPr>
        <w:t xml:space="preserve">milestones during the development of the extended version of </w:t>
      </w:r>
      <w:proofErr w:type="spellStart"/>
      <w:r>
        <w:rPr>
          <w:lang w:val="en-US"/>
        </w:rPr>
        <w:t>InCroMAP</w:t>
      </w:r>
      <w:proofErr w:type="spellEnd"/>
      <w:r>
        <w:rPr>
          <w:lang w:val="en-US"/>
        </w:rPr>
        <w:t>.</w:t>
      </w:r>
      <w:r w:rsidR="00DE7374">
        <w:rPr>
          <w:lang w:val="en-US"/>
        </w:rPr>
        <w:t xml:space="preserve"> T</w:t>
      </w:r>
      <w:r w:rsidR="009A664C">
        <w:rPr>
          <w:lang w:val="en-US"/>
        </w:rPr>
        <w:t>he most crucial</w:t>
      </w:r>
      <w:r w:rsidR="00DE7374">
        <w:rPr>
          <w:lang w:val="en-US"/>
        </w:rPr>
        <w:t xml:space="preserve"> step was deciding for an internal identifier. We chose </w:t>
      </w:r>
      <w:proofErr w:type="spellStart"/>
      <w:r w:rsidR="00DE7374">
        <w:rPr>
          <w:lang w:val="en-US"/>
        </w:rPr>
        <w:t>InChiKeys</w:t>
      </w:r>
      <w:proofErr w:type="spellEnd"/>
      <w:r w:rsidR="00DE7374">
        <w:rPr>
          <w:lang w:val="en-US"/>
        </w:rPr>
        <w:t xml:space="preserve"> as they are a compact, almost certainly unique identifier for a metabolite, which does not change as frequently as some database identifier</w:t>
      </w:r>
      <w:r w:rsidR="00F60FAF">
        <w:rPr>
          <w:lang w:val="en-US"/>
        </w:rPr>
        <w:t>s</w:t>
      </w:r>
      <w:r w:rsidR="00DE7374">
        <w:rPr>
          <w:lang w:val="en-US"/>
        </w:rPr>
        <w:t xml:space="preserve"> (HMDB, LIPIDMAPS, etc.). We downloaded compound information from PubChem, LIPID MAPS, </w:t>
      </w:r>
      <w:r w:rsidR="00283C08">
        <w:rPr>
          <w:lang w:val="en-US"/>
        </w:rPr>
        <w:t xml:space="preserve">KEGG, </w:t>
      </w:r>
      <w:r w:rsidR="00DE7374">
        <w:rPr>
          <w:lang w:val="en-US"/>
        </w:rPr>
        <w:t>and HMDB</w:t>
      </w:r>
      <w:r w:rsidR="009A664C">
        <w:rPr>
          <w:lang w:val="en-US"/>
        </w:rPr>
        <w:t>. We</w:t>
      </w:r>
      <w:r w:rsidR="00DE7374">
        <w:rPr>
          <w:lang w:val="en-US"/>
        </w:rPr>
        <w:t xml:space="preserve"> merged the data based on the </w:t>
      </w:r>
      <w:proofErr w:type="spellStart"/>
      <w:r w:rsidR="00DE7374">
        <w:rPr>
          <w:lang w:val="en-US"/>
        </w:rPr>
        <w:t>InChIKeys</w:t>
      </w:r>
      <w:proofErr w:type="spellEnd"/>
      <w:r w:rsidR="00DE7374">
        <w:rPr>
          <w:lang w:val="en-US"/>
        </w:rPr>
        <w:t xml:space="preserve"> with self-made python scripts</w:t>
      </w:r>
      <w:r w:rsidR="009A664C">
        <w:rPr>
          <w:lang w:val="en-US"/>
        </w:rPr>
        <w:t xml:space="preserve"> and</w:t>
      </w:r>
      <w:r w:rsidR="00402731">
        <w:rPr>
          <w:lang w:val="en-US"/>
        </w:rPr>
        <w:t xml:space="preserve"> kept only entries that contained identifiers for at least two different databases. </w:t>
      </w:r>
      <w:r w:rsidR="009A664C">
        <w:rPr>
          <w:lang w:val="en-US"/>
        </w:rPr>
        <w:t xml:space="preserve">We are aware of the fact that the generated database almost certainly contains errors because two different databases might assign a different </w:t>
      </w:r>
      <w:proofErr w:type="spellStart"/>
      <w:r w:rsidR="009A664C">
        <w:rPr>
          <w:lang w:val="en-US"/>
        </w:rPr>
        <w:t>InChIKey</w:t>
      </w:r>
      <w:proofErr w:type="spellEnd"/>
      <w:r w:rsidR="009A664C">
        <w:rPr>
          <w:lang w:val="en-US"/>
        </w:rPr>
        <w:t xml:space="preserve"> for a metabolite. Furthermore, some database entries from HMDB or LIPIDMAPS do not have </w:t>
      </w:r>
      <w:proofErr w:type="spellStart"/>
      <w:r w:rsidR="009A664C">
        <w:rPr>
          <w:lang w:val="en-US"/>
        </w:rPr>
        <w:t>InChiKeys</w:t>
      </w:r>
      <w:proofErr w:type="spellEnd"/>
      <w:r w:rsidR="009A664C">
        <w:rPr>
          <w:lang w:val="en-US"/>
        </w:rPr>
        <w:t xml:space="preserve">, e.g. a class of compounds. It might be possible to map this information to our generated identifier database using compound taxonomies. However, we did </w:t>
      </w:r>
      <w:r w:rsidR="00C21B00">
        <w:rPr>
          <w:lang w:val="en-US"/>
        </w:rPr>
        <w:t>not implement this feature in the current version</w:t>
      </w:r>
      <w:r w:rsidR="00A3251B">
        <w:rPr>
          <w:lang w:val="en-US"/>
        </w:rPr>
        <w:t>, mainly because it might introduce more errors in the generated database</w:t>
      </w:r>
      <w:r w:rsidR="00C21B00">
        <w:rPr>
          <w:lang w:val="en-US"/>
        </w:rPr>
        <w:t>. We outlined the points discussed in this paragraph in subsection 2.1.</w:t>
      </w:r>
    </w:p>
    <w:p w:rsidR="00D548E9" w:rsidRPr="00913578" w:rsidRDefault="00D548E9"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2"/>
      <w:headerReference w:type="first" r:id="rId13"/>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3C3" w:rsidRDefault="000173C3" w:rsidP="00006E27">
      <w:pPr>
        <w:spacing w:line="240" w:lineRule="auto"/>
      </w:pPr>
      <w:r>
        <w:separator/>
      </w:r>
    </w:p>
  </w:endnote>
  <w:endnote w:type="continuationSeparator" w:id="0">
    <w:p w:rsidR="000173C3" w:rsidRDefault="000173C3"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3C3" w:rsidRDefault="000173C3" w:rsidP="00006E27">
      <w:pPr>
        <w:spacing w:line="240" w:lineRule="auto"/>
      </w:pPr>
      <w:r>
        <w:separator/>
      </w:r>
    </w:p>
  </w:footnote>
  <w:footnote w:type="continuationSeparator" w:id="0">
    <w:p w:rsidR="000173C3" w:rsidRDefault="000173C3"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3C3" w:rsidRDefault="000173C3">
    <w:pPr>
      <w:pStyle w:val="Kopfzeile"/>
    </w:pPr>
    <w:r>
      <w:tab/>
    </w:r>
    <w:r>
      <w:tab/>
    </w:r>
    <w:fldSimple w:instr=" PAGE   \* MERGEFORMAT ">
      <w:r w:rsidR="00715CF0">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3C3" w:rsidRPr="00441895" w:rsidRDefault="000173C3"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0173C3" w:rsidRPr="00441895" w:rsidRDefault="000173C3"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0173C3" w:rsidRPr="00441895" w:rsidRDefault="000173C3"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0173C3" w:rsidRDefault="000173C3" w:rsidP="009E4427">
    <w:pPr>
      <w:pStyle w:val="Fensterzeile"/>
      <w:framePr w:h="420" w:hRule="exact" w:wrap="notBeside" w:x="1135" w:y="2553"/>
    </w:pPr>
    <w:r>
      <w:t>Universität Tübingen, WSI, J. Eichner, Sand 1, 72076 Tübingen</w:t>
    </w:r>
  </w:p>
  <w:p w:rsidR="000173C3" w:rsidRDefault="000173C3"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57728;visibility:visible">
          <v:imagedata r:id="rId1" o:title="logo rgb"/>
          <w10:wrap type="square"/>
          <w10:anchorlock/>
        </v:shape>
      </w:pict>
    </w:r>
    <w:r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C3"/>
    <w:rsid w:val="000173D0"/>
    <w:rsid w:val="00020482"/>
    <w:rsid w:val="000254D8"/>
    <w:rsid w:val="00037F8B"/>
    <w:rsid w:val="000653AC"/>
    <w:rsid w:val="000701D3"/>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45400"/>
    <w:rsid w:val="002477DA"/>
    <w:rsid w:val="00250EA8"/>
    <w:rsid w:val="002560B9"/>
    <w:rsid w:val="00283C08"/>
    <w:rsid w:val="00295AAC"/>
    <w:rsid w:val="002A2B78"/>
    <w:rsid w:val="002C4985"/>
    <w:rsid w:val="002D05B6"/>
    <w:rsid w:val="002D725F"/>
    <w:rsid w:val="002E094D"/>
    <w:rsid w:val="002E4011"/>
    <w:rsid w:val="002F2E9A"/>
    <w:rsid w:val="003216AA"/>
    <w:rsid w:val="003218E0"/>
    <w:rsid w:val="003245CC"/>
    <w:rsid w:val="00357A26"/>
    <w:rsid w:val="0036253C"/>
    <w:rsid w:val="00366054"/>
    <w:rsid w:val="003679CA"/>
    <w:rsid w:val="00397D86"/>
    <w:rsid w:val="003A2678"/>
    <w:rsid w:val="003A5BB1"/>
    <w:rsid w:val="003A7696"/>
    <w:rsid w:val="003B2730"/>
    <w:rsid w:val="003C3FA9"/>
    <w:rsid w:val="003C41AC"/>
    <w:rsid w:val="003D1199"/>
    <w:rsid w:val="003F06AA"/>
    <w:rsid w:val="003F081F"/>
    <w:rsid w:val="003F786C"/>
    <w:rsid w:val="00402731"/>
    <w:rsid w:val="0040788C"/>
    <w:rsid w:val="00430FDD"/>
    <w:rsid w:val="00441895"/>
    <w:rsid w:val="00445D18"/>
    <w:rsid w:val="004564BF"/>
    <w:rsid w:val="00460302"/>
    <w:rsid w:val="004A0C69"/>
    <w:rsid w:val="004A3F2A"/>
    <w:rsid w:val="004C5DD8"/>
    <w:rsid w:val="004D1F37"/>
    <w:rsid w:val="004D2619"/>
    <w:rsid w:val="004F63C6"/>
    <w:rsid w:val="005148C6"/>
    <w:rsid w:val="00515B50"/>
    <w:rsid w:val="00535F23"/>
    <w:rsid w:val="005447D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2C91"/>
    <w:rsid w:val="00654549"/>
    <w:rsid w:val="0066634E"/>
    <w:rsid w:val="00681FC2"/>
    <w:rsid w:val="006900B3"/>
    <w:rsid w:val="006B4C58"/>
    <w:rsid w:val="006C1FCD"/>
    <w:rsid w:val="006C2C6C"/>
    <w:rsid w:val="006C5FC3"/>
    <w:rsid w:val="006E50CF"/>
    <w:rsid w:val="006E5F22"/>
    <w:rsid w:val="006F26C9"/>
    <w:rsid w:val="00715CF0"/>
    <w:rsid w:val="00730E17"/>
    <w:rsid w:val="007366B1"/>
    <w:rsid w:val="00753479"/>
    <w:rsid w:val="0075724A"/>
    <w:rsid w:val="00772197"/>
    <w:rsid w:val="00780253"/>
    <w:rsid w:val="00787A73"/>
    <w:rsid w:val="00796A8F"/>
    <w:rsid w:val="007A268A"/>
    <w:rsid w:val="007A7CE2"/>
    <w:rsid w:val="007B041A"/>
    <w:rsid w:val="007D5B76"/>
    <w:rsid w:val="007D7F72"/>
    <w:rsid w:val="007E01F0"/>
    <w:rsid w:val="007E2E62"/>
    <w:rsid w:val="008012F1"/>
    <w:rsid w:val="00811977"/>
    <w:rsid w:val="00814F00"/>
    <w:rsid w:val="00820E09"/>
    <w:rsid w:val="00825CC9"/>
    <w:rsid w:val="008333A5"/>
    <w:rsid w:val="00842397"/>
    <w:rsid w:val="008450AF"/>
    <w:rsid w:val="00845BF3"/>
    <w:rsid w:val="00870AEA"/>
    <w:rsid w:val="00877BFC"/>
    <w:rsid w:val="0088146F"/>
    <w:rsid w:val="008856BE"/>
    <w:rsid w:val="00887561"/>
    <w:rsid w:val="00895568"/>
    <w:rsid w:val="008A7A1E"/>
    <w:rsid w:val="008C1016"/>
    <w:rsid w:val="008C38CD"/>
    <w:rsid w:val="008D2733"/>
    <w:rsid w:val="008E050B"/>
    <w:rsid w:val="008F6718"/>
    <w:rsid w:val="0090219F"/>
    <w:rsid w:val="00913578"/>
    <w:rsid w:val="009507EE"/>
    <w:rsid w:val="0097024D"/>
    <w:rsid w:val="00975004"/>
    <w:rsid w:val="00980F54"/>
    <w:rsid w:val="00991BDE"/>
    <w:rsid w:val="00991F6F"/>
    <w:rsid w:val="009940A6"/>
    <w:rsid w:val="009A664C"/>
    <w:rsid w:val="009C0C04"/>
    <w:rsid w:val="009E4427"/>
    <w:rsid w:val="009F158C"/>
    <w:rsid w:val="00A06E2F"/>
    <w:rsid w:val="00A117C6"/>
    <w:rsid w:val="00A131A1"/>
    <w:rsid w:val="00A164B0"/>
    <w:rsid w:val="00A263AB"/>
    <w:rsid w:val="00A3251B"/>
    <w:rsid w:val="00A33905"/>
    <w:rsid w:val="00A55325"/>
    <w:rsid w:val="00A6060C"/>
    <w:rsid w:val="00A661D2"/>
    <w:rsid w:val="00A87F96"/>
    <w:rsid w:val="00A96256"/>
    <w:rsid w:val="00AA1F85"/>
    <w:rsid w:val="00AA3C3E"/>
    <w:rsid w:val="00AA6021"/>
    <w:rsid w:val="00AC5F3C"/>
    <w:rsid w:val="00AC5F92"/>
    <w:rsid w:val="00AE5E46"/>
    <w:rsid w:val="00AF01F1"/>
    <w:rsid w:val="00AF0FF8"/>
    <w:rsid w:val="00AF3FD4"/>
    <w:rsid w:val="00AF40D2"/>
    <w:rsid w:val="00B07D81"/>
    <w:rsid w:val="00B1399B"/>
    <w:rsid w:val="00B17BA4"/>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1B00"/>
    <w:rsid w:val="00C2477B"/>
    <w:rsid w:val="00C25477"/>
    <w:rsid w:val="00C31838"/>
    <w:rsid w:val="00C47A9A"/>
    <w:rsid w:val="00C51D5A"/>
    <w:rsid w:val="00C52B90"/>
    <w:rsid w:val="00C63E27"/>
    <w:rsid w:val="00C661B0"/>
    <w:rsid w:val="00C72BD7"/>
    <w:rsid w:val="00C752A7"/>
    <w:rsid w:val="00CA226A"/>
    <w:rsid w:val="00CE034E"/>
    <w:rsid w:val="00CE5FA4"/>
    <w:rsid w:val="00CF730B"/>
    <w:rsid w:val="00D0074B"/>
    <w:rsid w:val="00D00E4A"/>
    <w:rsid w:val="00D0141A"/>
    <w:rsid w:val="00D52F81"/>
    <w:rsid w:val="00D548E9"/>
    <w:rsid w:val="00D65AEE"/>
    <w:rsid w:val="00D67440"/>
    <w:rsid w:val="00D8134E"/>
    <w:rsid w:val="00D84FBA"/>
    <w:rsid w:val="00D87F98"/>
    <w:rsid w:val="00D97EE1"/>
    <w:rsid w:val="00DD6C81"/>
    <w:rsid w:val="00DE7374"/>
    <w:rsid w:val="00DE7B67"/>
    <w:rsid w:val="00DE7C9D"/>
    <w:rsid w:val="00DF0B02"/>
    <w:rsid w:val="00DF64B5"/>
    <w:rsid w:val="00E04BAE"/>
    <w:rsid w:val="00E06093"/>
    <w:rsid w:val="00E21572"/>
    <w:rsid w:val="00E30117"/>
    <w:rsid w:val="00E3522D"/>
    <w:rsid w:val="00E4569A"/>
    <w:rsid w:val="00E4602A"/>
    <w:rsid w:val="00E5426A"/>
    <w:rsid w:val="00E775BD"/>
    <w:rsid w:val="00E86279"/>
    <w:rsid w:val="00E90FB3"/>
    <w:rsid w:val="00E915D6"/>
    <w:rsid w:val="00EA4F09"/>
    <w:rsid w:val="00EE7B92"/>
    <w:rsid w:val="00EF4362"/>
    <w:rsid w:val="00F02B53"/>
    <w:rsid w:val="00F06546"/>
    <w:rsid w:val="00F14E80"/>
    <w:rsid w:val="00F36EA0"/>
    <w:rsid w:val="00F46BDB"/>
    <w:rsid w:val="00F5031A"/>
    <w:rsid w:val="00F60FAF"/>
    <w:rsid w:val="00F821FE"/>
    <w:rsid w:val="00F94B39"/>
    <w:rsid w:val="00F97328"/>
    <w:rsid w:val="00FA299E"/>
    <w:rsid w:val="00FC298E"/>
    <w:rsid w:val="00FC39B9"/>
    <w:rsid w:val="00FC438A"/>
    <w:rsid w:val="00FC5AD7"/>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link w:val="EKUTFusszeileFett"/>
    <w:rsid w:val="00A104F4"/>
    <w:rPr>
      <w:rFonts w:ascii="Arial" w:eastAsia="Times New Roman" w:hAnsi="Arial" w:cs="Times New Roman"/>
      <w:b/>
      <w:sz w:val="14"/>
      <w:szCs w:val="14"/>
      <w:lang w:val="en-GB" w:eastAsia="de-DE"/>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link w:val="EKUTFusszeile"/>
    <w:rsid w:val="00370386"/>
    <w:rPr>
      <w:rFonts w:ascii="Arial" w:eastAsia="Times New Roman" w:hAnsi="Arial" w:cs="Times New Roman"/>
      <w:sz w:val="14"/>
      <w:szCs w:val="14"/>
      <w:lang w:val="en-GB" w:eastAsia="de-DE"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link w:val="Funotentext"/>
    <w:uiPriority w:val="99"/>
    <w:semiHidden/>
    <w:rsid w:val="006E5F22"/>
    <w:rPr>
      <w:rFonts w:ascii="Arial" w:eastAsia="Times New Roman" w:hAnsi="Arial"/>
    </w:rPr>
  </w:style>
  <w:style w:type="character" w:styleId="Funotenzeichen">
    <w:name w:val="footnote reference"/>
    <w:uiPriority w:val="99"/>
    <w:semiHidden/>
    <w:unhideWhenUsed/>
    <w:rsid w:val="006E5F22"/>
    <w:rPr>
      <w:vertAlign w:val="superscript"/>
    </w:rPr>
  </w:style>
  <w:style w:type="character" w:styleId="Hyperlink">
    <w:name w:val="Hyperlink"/>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Untertitel1">
    <w:name w:val="Untertitel1"/>
    <w:basedOn w:val="Absatz-Standardschriftart"/>
    <w:rsid w:val="00A96256"/>
  </w:style>
  <w:style w:type="character" w:styleId="BesuchterHyperlink">
    <w:name w:val="FollowedHyperlink"/>
    <w:uiPriority w:val="99"/>
    <w:semiHidden/>
    <w:unhideWhenUsed/>
    <w:rsid w:val="00870AEA"/>
    <w:rPr>
      <w:color w:val="800080"/>
      <w:u w:val="single"/>
    </w:rPr>
  </w:style>
  <w:style w:type="character" w:styleId="Kommentarzeichen">
    <w:name w:val="annotation reference"/>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link w:val="Kommentarthema"/>
    <w:uiPriority w:val="99"/>
    <w:semiHidden/>
    <w:rsid w:val="00B70441"/>
    <w:rPr>
      <w:rFonts w:ascii="Arial" w:eastAsia="Times New Roman" w:hAnsi="Arial"/>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ijc.28798/abstrac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i-marcar.e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mpala.molgen.mpg.de/" TargetMode="External"/><Relationship Id="rId4" Type="http://schemas.openxmlformats.org/officeDocument/2006/relationships/settings" Target="settings.xml"/><Relationship Id="rId9" Type="http://schemas.openxmlformats.org/officeDocument/2006/relationships/hyperlink" Target="http://www.msea.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A6121-4655-4A65-857D-0E15926B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2657</Words>
  <Characters>16742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Johannes Eichner</cp:lastModifiedBy>
  <cp:revision>37</cp:revision>
  <cp:lastPrinted>2013-05-24T14:17:00Z</cp:lastPrinted>
  <dcterms:created xsi:type="dcterms:W3CDTF">2014-02-21T09:33:00Z</dcterms:created>
  <dcterms:modified xsi:type="dcterms:W3CDTF">2014-03-04T13:22:00Z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