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441895" w:rsidRPr="00141968" w:rsidRDefault="00441895" w:rsidP="00441895">
      <w:pPr>
        <w:pStyle w:val="EKUTAbsenderinformationen"/>
        <w:framePr w:w="3107" w:h="3391" w:hRule="exact" w:hSpace="181" w:wrap="around" w:vAnchor="page" w:hAnchor="page" w:x="8132" w:y="1997"/>
        <w:rPr>
          <w:szCs w:val="16"/>
          <w:lang w:val="en-US"/>
        </w:rPr>
      </w:pPr>
      <w:r w:rsidRPr="00141968">
        <w:rPr>
          <w:noProof/>
          <w:szCs w:val="16"/>
          <w:lang w:val="en-US"/>
        </w:rPr>
        <w:t>Phone:</w:t>
      </w:r>
      <w:r w:rsidRPr="00141968">
        <w:rPr>
          <w:noProof/>
          <w:szCs w:val="16"/>
          <w:lang w:val="en-US"/>
        </w:rPr>
        <w:tab/>
        <w:t>+49 7071 29-</w:t>
      </w:r>
      <w:r w:rsidR="00870AEA">
        <w:rPr>
          <w:noProof/>
          <w:szCs w:val="16"/>
          <w:lang w:val="en-US"/>
        </w:rPr>
        <w:t>70789</w:t>
      </w:r>
    </w:p>
    <w:p w:rsidR="00441895" w:rsidRPr="00141968" w:rsidRDefault="00441895" w:rsidP="00441895">
      <w:pPr>
        <w:pStyle w:val="EKUTAbsenderinformationen"/>
        <w:framePr w:w="3107" w:h="3391" w:hRule="exact" w:hSpace="181" w:wrap="around" w:vAnchor="page" w:hAnchor="page" w:x="8132" w:y="1997"/>
        <w:rPr>
          <w:noProof/>
          <w:szCs w:val="16"/>
          <w:lang w:val="en-US"/>
        </w:rPr>
      </w:pPr>
      <w:r w:rsidRPr="00141968">
        <w:rPr>
          <w:noProof/>
          <w:szCs w:val="16"/>
          <w:lang w:val="en-US"/>
        </w:rPr>
        <w:t>Fax:</w:t>
      </w:r>
      <w:r w:rsidRPr="00141968">
        <w:rPr>
          <w:noProof/>
          <w:szCs w:val="16"/>
          <w:lang w:val="en-US"/>
        </w:rPr>
        <w:tab/>
        <w:t>+49 7071 29-5091</w:t>
      </w:r>
    </w:p>
    <w:p w:rsidR="00441895" w:rsidRPr="00141968" w:rsidRDefault="00233875" w:rsidP="00441895">
      <w:pPr>
        <w:pStyle w:val="EKUTAbsenderinformationen"/>
        <w:framePr w:w="3107" w:h="3391" w:hRule="exact" w:hSpace="181" w:wrap="around" w:vAnchor="page" w:hAnchor="page" w:x="8132" w:y="1997"/>
        <w:rPr>
          <w:szCs w:val="16"/>
          <w:lang w:val="en-US"/>
        </w:rPr>
      </w:pPr>
      <w:r>
        <w:rPr>
          <w:szCs w:val="16"/>
          <w:lang w:val="en-US"/>
        </w:rPr>
        <w:t>lars.rosenbaum</w:t>
      </w:r>
      <w:r w:rsidR="00441895" w:rsidRPr="00141968">
        <w:rPr>
          <w:szCs w:val="16"/>
          <w:lang w:val="en-US"/>
        </w:rPr>
        <w:t>@</w:t>
      </w:r>
      <w:r w:rsidR="00441895">
        <w:rPr>
          <w:szCs w:val="16"/>
          <w:lang w:val="en-US"/>
        </w:rPr>
        <w:t>u</w:t>
      </w:r>
      <w:r w:rsidR="00441895" w:rsidRPr="00141968">
        <w:rPr>
          <w:szCs w:val="16"/>
          <w:lang w:val="en-US"/>
        </w:rPr>
        <w:t>ni-</w:t>
      </w:r>
      <w:r w:rsidR="00441895">
        <w:rPr>
          <w:szCs w:val="16"/>
          <w:lang w:val="en-US"/>
        </w:rPr>
        <w:t>t</w:t>
      </w:r>
      <w:r w:rsidR="00441895" w:rsidRPr="00141968">
        <w:rPr>
          <w:szCs w:val="16"/>
          <w:lang w:val="en-US"/>
        </w:rPr>
        <w:t>uebingen.de</w:t>
      </w:r>
    </w:p>
    <w:p w:rsidR="00441895" w:rsidRPr="00141968" w:rsidRDefault="00441895" w:rsidP="00441895">
      <w:pPr>
        <w:pStyle w:val="EKUTAbsenderinformationen"/>
        <w:framePr w:w="3107" w:h="3391" w:hRule="exact" w:hSpace="181" w:wrap="around" w:vAnchor="page" w:hAnchor="page" w:x="8132" w:y="1997"/>
        <w:rPr>
          <w:lang w:val="en-US"/>
        </w:rPr>
      </w:pPr>
      <w:r w:rsidRPr="00141968">
        <w:rPr>
          <w:szCs w:val="16"/>
          <w:lang w:val="en-US"/>
        </w:rPr>
        <w:t>www.</w:t>
      </w:r>
      <w:r>
        <w:rPr>
          <w:szCs w:val="16"/>
          <w:lang w:val="en-US"/>
        </w:rPr>
        <w:t>cogsys</w:t>
      </w:r>
      <w:r w:rsidRPr="00141968">
        <w:rPr>
          <w:szCs w:val="16"/>
          <w:lang w:val="en-US"/>
        </w:rPr>
        <w:t>.cs.uni-tuebingen</w:t>
      </w:r>
      <w:r w:rsidRPr="00141968">
        <w:rPr>
          <w:lang w:val="en-US"/>
        </w:rPr>
        <w:t>.de</w:t>
      </w:r>
    </w:p>
    <w:p w:rsidR="00E4569A" w:rsidRPr="00E4569A" w:rsidRDefault="00E4569A" w:rsidP="00E4569A">
      <w:pPr>
        <w:pStyle w:val="EKUTAbsenderinformationen"/>
        <w:framePr w:w="3107" w:h="3391" w:hRule="exact" w:hSpace="181" w:wrap="around" w:vAnchor="page" w:hAnchor="page" w:x="8132" w:y="1997"/>
        <w:rPr>
          <w:sz w:val="20"/>
          <w:lang w:val="en-US"/>
        </w:rPr>
      </w:pPr>
    </w:p>
    <w:p w:rsidR="00006E27" w:rsidRPr="00E4569A" w:rsidRDefault="00006E27" w:rsidP="00006E27">
      <w:pPr>
        <w:pStyle w:val="EKUTBetreffzeile"/>
        <w:rPr>
          <w:b w:val="0"/>
          <w:color w:val="FFFFFF"/>
          <w:lang w:val="en-US"/>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5B5082"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0C45C3">
        <w:rPr>
          <w:b w:val="0"/>
          <w:bCs w:val="0"/>
          <w:noProof/>
          <w:color w:val="000000"/>
          <w:sz w:val="16"/>
          <w:szCs w:val="16"/>
          <w:lang w:val="en-US"/>
        </w:rPr>
        <w:t>February 21,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Pr="00C25477">
        <w:rPr>
          <w:b/>
          <w:bCs/>
          <w:lang w:val="en-US"/>
        </w:rPr>
        <w:t>“</w:t>
      </w:r>
      <w:r w:rsidRPr="00380014">
        <w:rPr>
          <w:b/>
          <w:bCs/>
          <w:iCs/>
          <w:lang w:val="en-US"/>
        </w:rPr>
        <w:t xml:space="preserve">Straightforward interpretation of </w:t>
      </w:r>
      <w:proofErr w:type="spellStart"/>
      <w:r w:rsidRPr="00380014">
        <w:rPr>
          <w:b/>
          <w:bCs/>
          <w:iCs/>
          <w:lang w:val="en-US"/>
        </w:rPr>
        <w:t>metabolomics</w:t>
      </w:r>
      <w:proofErr w:type="spellEnd"/>
      <w:r w:rsidRPr="00380014">
        <w:rPr>
          <w:b/>
          <w:bCs/>
          <w:iCs/>
          <w:lang w:val="en-US"/>
        </w:rPr>
        <w:t xml:space="preserve">,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 xml:space="preserve">1) Please consider proof reading of the manuscript by a </w:t>
      </w:r>
      <w:proofErr w:type="spellStart"/>
      <w:r w:rsidRPr="00233875">
        <w:rPr>
          <w:i/>
          <w:color w:val="C00000"/>
          <w:lang w:val="en-US"/>
        </w:rPr>
        <w:t>metabolomics</w:t>
      </w:r>
      <w:proofErr w:type="spellEnd"/>
      <w:r w:rsidRPr="00233875">
        <w:rPr>
          <w:i/>
          <w:color w:val="C00000"/>
          <w:lang w:val="en-US"/>
        </w:rPr>
        <w:t xml:space="preserve">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 xml:space="preserve">As suggested by Reviewer 1 the manuscript was reviewed by an expert in the field of </w:t>
      </w:r>
      <w:proofErr w:type="spellStart"/>
      <w:r w:rsidRPr="00F53210">
        <w:rPr>
          <w:lang w:val="en-US"/>
        </w:rPr>
        <w:t>metabolomics</w:t>
      </w:r>
      <w:proofErr w:type="spellEnd"/>
      <w:r w:rsidRPr="00F53210">
        <w:rPr>
          <w:lang w:val="en-US"/>
        </w:rPr>
        <w:t>.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 xml:space="preserve">2) Please provide some additional results (preferably from </w:t>
      </w:r>
      <w:proofErr w:type="spellStart"/>
      <w:r w:rsidRPr="00233875">
        <w:rPr>
          <w:i/>
          <w:color w:val="C00000"/>
          <w:lang w:val="en-US"/>
        </w:rPr>
        <w:t>metabolomics</w:t>
      </w:r>
      <w:proofErr w:type="spellEnd"/>
      <w:r w:rsidRPr="00233875">
        <w:rPr>
          <w:i/>
          <w:color w:val="C00000"/>
          <w:lang w:val="en-US"/>
        </w:rPr>
        <w:t xml:space="preserve">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respectively. Furthermore, Figure 2 is now based on real data from a study focused on the analysis of metabolic alterations in mouse liver tumors. The corresponding manuscript has recently been accepted for publication by the International Journal of Cancer, which is briefly described in the revised manuscript. For the sake of completeness, we also included the final version of this manuscript into the submission.</w:t>
      </w:r>
      <w:r w:rsidR="002560B9">
        <w:rPr>
          <w:lang w:val="en-US"/>
        </w:rPr>
        <w:t xml:space="preserve"> 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w:t>
      </w:r>
      <w:proofErr w:type="spellStart"/>
      <w:r w:rsidR="002560B9">
        <w:rPr>
          <w:lang w:val="en-US"/>
        </w:rPr>
        <w:t>metabolomics</w:t>
      </w:r>
      <w:proofErr w:type="spellEnd"/>
      <w:r w:rsidR="002560B9">
        <w:rPr>
          <w:lang w:val="en-US"/>
        </w:rPr>
        <w:t xml:space="preserve"> data.</w:t>
      </w:r>
    </w:p>
    <w:p w:rsidR="002560B9" w:rsidRPr="002560B9" w:rsidRDefault="002560B9"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33875" w:rsidRPr="00AF01F1"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233875" w:rsidRPr="000C45C3" w:rsidRDefault="00233875" w:rsidP="00CF730B">
      <w:pPr>
        <w:spacing w:after="120" w:line="240" w:lineRule="auto"/>
        <w:jc w:val="both"/>
        <w:rPr>
          <w:color w:val="4F81BD" w:themeColor="accent1"/>
          <w:lang w:val="en-US"/>
        </w:rPr>
      </w:pPr>
      <w:r w:rsidRPr="008A7A1E">
        <w:rPr>
          <w:b/>
          <w:color w:val="4F81BD" w:themeColor="accent1"/>
        </w:rPr>
        <w:t>TODO:</w:t>
      </w:r>
      <w:r w:rsidRPr="008A7A1E">
        <w:rPr>
          <w:color w:val="4F81BD" w:themeColor="accent1"/>
        </w:rPr>
        <w:t xml:space="preserve"> Lars. Über den Import werde ich noch etwas mehr schreiben. </w:t>
      </w:r>
      <w:proofErr w:type="spellStart"/>
      <w:proofErr w:type="gramStart"/>
      <w:r w:rsidRPr="000C45C3">
        <w:rPr>
          <w:color w:val="4F81BD" w:themeColor="accent1"/>
          <w:lang w:val="en-US"/>
        </w:rPr>
        <w:t>Habe</w:t>
      </w:r>
      <w:proofErr w:type="spellEnd"/>
      <w:r w:rsidRPr="000C45C3">
        <w:rPr>
          <w:color w:val="4F81BD" w:themeColor="accent1"/>
          <w:lang w:val="en-US"/>
        </w:rPr>
        <w:t xml:space="preserve"> </w:t>
      </w:r>
      <w:proofErr w:type="spellStart"/>
      <w:r w:rsidRPr="000C45C3">
        <w:rPr>
          <w:color w:val="4F81BD" w:themeColor="accent1"/>
          <w:lang w:val="en-US"/>
        </w:rPr>
        <w:t>da</w:t>
      </w:r>
      <w:proofErr w:type="spellEnd"/>
      <w:r w:rsidRPr="000C45C3">
        <w:rPr>
          <w:color w:val="4F81BD" w:themeColor="accent1"/>
          <w:lang w:val="en-US"/>
        </w:rPr>
        <w:t xml:space="preserve"> </w:t>
      </w:r>
      <w:proofErr w:type="spellStart"/>
      <w:r w:rsidRPr="000C45C3">
        <w:rPr>
          <w:color w:val="4F81BD" w:themeColor="accent1"/>
          <w:lang w:val="en-US"/>
        </w:rPr>
        <w:t>auch</w:t>
      </w:r>
      <w:proofErr w:type="spellEnd"/>
      <w:r w:rsidRPr="000C45C3">
        <w:rPr>
          <w:color w:val="4F81BD" w:themeColor="accent1"/>
          <w:lang w:val="en-US"/>
        </w:rPr>
        <w:t xml:space="preserve"> </w:t>
      </w:r>
      <w:proofErr w:type="spellStart"/>
      <w:r w:rsidRPr="000C45C3">
        <w:rPr>
          <w:color w:val="4F81BD" w:themeColor="accent1"/>
          <w:lang w:val="en-US"/>
        </w:rPr>
        <w:t>noch</w:t>
      </w:r>
      <w:proofErr w:type="spellEnd"/>
      <w:r w:rsidRPr="000C45C3">
        <w:rPr>
          <w:color w:val="4F81BD" w:themeColor="accent1"/>
          <w:lang w:val="en-US"/>
        </w:rPr>
        <w:t xml:space="preserve"> </w:t>
      </w:r>
      <w:proofErr w:type="spellStart"/>
      <w:r w:rsidRPr="000C45C3">
        <w:rPr>
          <w:color w:val="4F81BD" w:themeColor="accent1"/>
          <w:lang w:val="en-US"/>
        </w:rPr>
        <w:t>paar</w:t>
      </w:r>
      <w:proofErr w:type="spellEnd"/>
      <w:r w:rsidRPr="000C45C3">
        <w:rPr>
          <w:color w:val="4F81BD" w:themeColor="accent1"/>
          <w:lang w:val="en-US"/>
        </w:rPr>
        <w:t xml:space="preserve"> Bugs </w:t>
      </w:r>
      <w:proofErr w:type="spellStart"/>
      <w:r w:rsidRPr="000C45C3">
        <w:rPr>
          <w:color w:val="4F81BD" w:themeColor="accent1"/>
          <w:lang w:val="en-US"/>
        </w:rPr>
        <w:t>gefixt</w:t>
      </w:r>
      <w:proofErr w:type="spellEnd"/>
      <w:r w:rsidRPr="000C45C3">
        <w:rPr>
          <w:color w:val="4F81BD" w:themeColor="accent1"/>
          <w:lang w:val="en-US"/>
        </w:rPr>
        <w:t>.</w:t>
      </w:r>
      <w:proofErr w:type="gramEnd"/>
    </w:p>
    <w:p w:rsidR="002560B9" w:rsidRPr="000C45C3" w:rsidRDefault="002560B9" w:rsidP="00CF730B">
      <w:pPr>
        <w:spacing w:after="120" w:line="240" w:lineRule="auto"/>
        <w:jc w:val="both"/>
        <w:rPr>
          <w:color w:val="4F81BD" w:themeColor="accent1"/>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4) Comments from referee 2 on targeted </w:t>
      </w:r>
      <w:proofErr w:type="spellStart"/>
      <w:r w:rsidRPr="008A7A1E">
        <w:rPr>
          <w:i/>
          <w:color w:val="C00000"/>
          <w:lang w:val="en-US"/>
        </w:rPr>
        <w:t>metabolomics</w:t>
      </w:r>
      <w:proofErr w:type="spellEnd"/>
      <w:r w:rsidRPr="008A7A1E">
        <w:rPr>
          <w:i/>
          <w:color w:val="C00000"/>
          <w:lang w:val="en-US"/>
        </w:rPr>
        <w:t xml:space="preserve">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233875" w:rsidRPr="00D56BE4" w:rsidRDefault="00233875" w:rsidP="00CF730B">
      <w:pPr>
        <w:pStyle w:val="EKUTTextkrper"/>
        <w:spacing w:after="120" w:line="240" w:lineRule="auto"/>
        <w:contextualSpacing w:val="0"/>
        <w:jc w:val="both"/>
        <w:rPr>
          <w:b/>
          <w:sz w:val="24"/>
          <w:lang w:val="en-US"/>
        </w:rPr>
      </w:pPr>
      <w:r w:rsidRPr="00D56BE4">
        <w:rPr>
          <w:b/>
          <w:sz w:val="24"/>
          <w:lang w:val="en-US"/>
        </w:rPr>
        <w:t xml:space="preserve">Reviewer </w:t>
      </w:r>
      <w:r>
        <w:rPr>
          <w:b/>
          <w:sz w:val="24"/>
          <w:lang w:val="en-US"/>
        </w:rPr>
        <w:t>1</w:t>
      </w:r>
      <w:r w:rsidRPr="00D56BE4">
        <w:rPr>
          <w:b/>
          <w:sz w:val="24"/>
          <w:lang w:val="en-US"/>
        </w:rPr>
        <w:t xml:space="preserve"> comments:</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w:t>
      </w:r>
      <w:proofErr w:type="spellStart"/>
      <w:r w:rsidRPr="008A7A1E">
        <w:rPr>
          <w:i/>
          <w:color w:val="C00000"/>
          <w:lang w:val="en-US"/>
        </w:rPr>
        <w:t>metabolomics</w:t>
      </w:r>
      <w:proofErr w:type="spellEnd"/>
      <w:r w:rsidRPr="008A7A1E">
        <w:rPr>
          <w:i/>
          <w:color w:val="C00000"/>
          <w:lang w:val="en-US"/>
        </w:rPr>
        <w:t xml:space="preserve">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hyperlink r:id="rId8" w:history="1">
        <w:r w:rsidRPr="00F53210">
          <w:rPr>
            <w:rStyle w:val="Hyperlink"/>
            <w:lang w:val="en-US"/>
          </w:rPr>
          <w:t>http://www.msea.ca</w:t>
        </w:r>
      </w:hyperlink>
      <w:r w:rsidRPr="00F53210">
        <w:rPr>
          <w:lang w:val="en-US"/>
        </w:rPr>
        <w:t xml:space="preserve">) or </w:t>
      </w:r>
      <w:proofErr w:type="spellStart"/>
      <w:r w:rsidRPr="00F53210">
        <w:rPr>
          <w:lang w:val="en-US"/>
        </w:rPr>
        <w:t>IMPaLA</w:t>
      </w:r>
      <w:proofErr w:type="spellEnd"/>
      <w:r w:rsidRPr="00F53210">
        <w:rPr>
          <w:lang w:val="en-US"/>
        </w:rPr>
        <w:t xml:space="preserve"> (</w:t>
      </w:r>
      <w:hyperlink r:id="rId9" w:history="1">
        <w:r w:rsidRPr="00F53210">
          <w:rPr>
            <w:rStyle w:val="Hyperlink"/>
            <w:lang w:val="en-US"/>
          </w:rPr>
          <w:t>http://impala.molgen.mpg.de</w:t>
        </w:r>
      </w:hyperlink>
      <w:r w:rsidRPr="00F53210">
        <w:rPr>
          <w:lang w:val="en-US"/>
        </w:rPr>
        <w:t xml:space="preserve">) 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 xml:space="preserve">The issue concerning the terminology was addressed by writing “deregulated”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w:t>
      </w:r>
      <w:proofErr w:type="spellStart"/>
      <w:r w:rsidRPr="008A7A1E">
        <w:rPr>
          <w:i/>
          <w:color w:val="C00000"/>
          <w:lang w:val="en-US"/>
        </w:rPr>
        <w:t>metabolomics</w:t>
      </w:r>
      <w:proofErr w:type="spellEnd"/>
      <w:r w:rsidRPr="008A7A1E">
        <w:rPr>
          <w:i/>
          <w:color w:val="C00000"/>
          <w:lang w:val="en-US"/>
        </w:rPr>
        <w:t xml:space="preserve">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w:t>
      </w:r>
      <w:proofErr w:type="spellStart"/>
      <w:r w:rsidRPr="00F53210">
        <w:rPr>
          <w:lang w:val="en-US"/>
        </w:rPr>
        <w:t>metabolomics</w:t>
      </w:r>
      <w:proofErr w:type="spellEnd"/>
      <w:r w:rsidRPr="00F53210">
        <w:rPr>
          <w:lang w:val="en-US"/>
        </w:rPr>
        <w:t xml:space="preserve">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w:t>
      </w:r>
      <w:proofErr w:type="spellStart"/>
      <w:r w:rsidRPr="00380014">
        <w:rPr>
          <w:lang w:val="en-US"/>
        </w:rPr>
        <w:t>metabolomics</w:t>
      </w:r>
      <w:proofErr w:type="spellEnd"/>
      <w:r w:rsidRPr="00380014">
        <w:rPr>
          <w:lang w:val="en-US"/>
        </w:rPr>
        <w:t xml:space="preserve"> data as well as mRNA, </w:t>
      </w:r>
      <w:proofErr w:type="spellStart"/>
      <w:r w:rsidRPr="00380014">
        <w:rPr>
          <w:lang w:val="en-US"/>
        </w:rPr>
        <w:t>miRNA</w:t>
      </w:r>
      <w:proofErr w:type="spellEnd"/>
      <w:r w:rsidRPr="00380014">
        <w:rPr>
          <w:lang w:val="en-US"/>
        </w:rPr>
        <w:t xml:space="preserve">, protein and DNA </w:t>
      </w:r>
      <w:proofErr w:type="spellStart"/>
      <w:r w:rsidRPr="00380014">
        <w:rPr>
          <w:lang w:val="en-US"/>
        </w:rPr>
        <w:t>methylation</w:t>
      </w:r>
      <w:proofErr w:type="spellEnd"/>
      <w:r w:rsidRPr="00380014">
        <w:rPr>
          <w:lang w:val="en-US"/>
        </w:rPr>
        <w:t xml:space="preserve">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w:t>
      </w:r>
      <w:proofErr w:type="spellStart"/>
      <w:r w:rsidRPr="00F53210">
        <w:rPr>
          <w:lang w:val="en-US"/>
        </w:rPr>
        <w:t>lysates</w:t>
      </w:r>
      <w:proofErr w:type="spellEnd"/>
      <w:r w:rsidRPr="00F53210">
        <w:rPr>
          <w:lang w:val="en-US"/>
        </w:rPr>
        <w:t xml:space="preserve"> is much easier. However, in particular in human studies in most cases the investigation of metabolites in body fluids reflecting metabolic pathways is the only way and therefore usually performed. Consequently numerous </w:t>
      </w:r>
      <w:proofErr w:type="spellStart"/>
      <w:r w:rsidRPr="00F53210">
        <w:rPr>
          <w:lang w:val="en-US"/>
        </w:rPr>
        <w:t>metabolomics</w:t>
      </w:r>
      <w:proofErr w:type="spellEnd"/>
      <w:r w:rsidRPr="00F53210">
        <w:rPr>
          <w:lang w:val="en-US"/>
        </w:rPr>
        <w:t xml:space="preserve"> studies have been published investigating for example human plasma to study metabolic pathways or alterations therein. In addition, since decades traditional plasma metabolite parameters have been analyzed to study pathways, like glucose/lactate to study </w:t>
      </w:r>
      <w:proofErr w:type="spellStart"/>
      <w:r w:rsidRPr="00F53210">
        <w:rPr>
          <w:lang w:val="en-US"/>
        </w:rPr>
        <w:t>glycolysis</w:t>
      </w:r>
      <w:proofErr w:type="spellEnd"/>
      <w:r w:rsidRPr="00F53210">
        <w:rPr>
          <w:lang w:val="en-US"/>
        </w:rPr>
        <w:t xml:space="preserve">, plasma fatty acid profiles by gas chromatography, or </w:t>
      </w:r>
      <w:proofErr w:type="spellStart"/>
      <w:r w:rsidRPr="00F53210">
        <w:rPr>
          <w:lang w:val="en-US"/>
        </w:rPr>
        <w:t>acyl</w:t>
      </w:r>
      <w:proofErr w:type="spellEnd"/>
      <w:r w:rsidRPr="00F53210">
        <w:rPr>
          <w:lang w:val="en-US"/>
        </w:rPr>
        <w:t xml:space="preserve">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 xml:space="preserve">3) The authors are clearly not from the field of </w:t>
      </w:r>
      <w:proofErr w:type="spellStart"/>
      <w:r w:rsidRPr="008A7A1E">
        <w:rPr>
          <w:i/>
          <w:color w:val="C00000"/>
          <w:lang w:val="en-US"/>
        </w:rPr>
        <w:t>metabolomics</w:t>
      </w:r>
      <w:proofErr w:type="spellEnd"/>
      <w:r w:rsidRPr="008A7A1E">
        <w:rPr>
          <w:i/>
          <w:color w:val="C00000"/>
          <w:lang w:val="en-US"/>
        </w:rPr>
        <w:t xml:space="preserve"> (they do not mention the proper and much used tools for data (pre)m processing in </w:t>
      </w:r>
      <w:proofErr w:type="spellStart"/>
      <w:r w:rsidRPr="008A7A1E">
        <w:rPr>
          <w:i/>
          <w:color w:val="C00000"/>
          <w:lang w:val="en-US"/>
        </w:rPr>
        <w:t>metabolomics</w:t>
      </w:r>
      <w:proofErr w:type="spellEnd"/>
      <w:r w:rsidRPr="008A7A1E">
        <w:rPr>
          <w:i/>
          <w:color w:val="C00000"/>
          <w:lang w:val="en-US"/>
        </w:rPr>
        <w:t>.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w:t>
      </w:r>
      <w:proofErr w:type="spellStart"/>
      <w:r w:rsidRPr="00AF01F1">
        <w:rPr>
          <w:lang w:val="en-US"/>
        </w:rPr>
        <w:t>metabolomics</w:t>
      </w:r>
      <w:proofErr w:type="spellEnd"/>
      <w:r w:rsidRPr="00AF01F1">
        <w:rPr>
          <w:lang w:val="en-US"/>
        </w:rPr>
        <w:t xml:space="preserve"> field. We can dispel these concerns about lack of </w:t>
      </w:r>
      <w:proofErr w:type="spellStart"/>
      <w:r w:rsidRPr="00AF01F1">
        <w:rPr>
          <w:lang w:val="en-US"/>
        </w:rPr>
        <w:t>metabolomics</w:t>
      </w:r>
      <w:proofErr w:type="spellEnd"/>
      <w:r w:rsidRPr="00AF01F1">
        <w:rPr>
          <w:lang w:val="en-US"/>
        </w:rPr>
        <w:t xml:space="preserve"> expertise of the authors. The senior author (RL), for example, published in 2013 six articles presenting results from </w:t>
      </w:r>
      <w:proofErr w:type="spellStart"/>
      <w:r w:rsidRPr="00AF01F1">
        <w:rPr>
          <w:lang w:val="en-US"/>
        </w:rPr>
        <w:t>metabolomics</w:t>
      </w:r>
      <w:proofErr w:type="spellEnd"/>
      <w:r w:rsidRPr="00AF01F1">
        <w:rPr>
          <w:lang w:val="en-US"/>
        </w:rPr>
        <w:t xml:space="preserve">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AF01F1" w:rsidRPr="00AF01F1" w:rsidRDefault="00AF01F1" w:rsidP="00CF730B">
      <w:pPr>
        <w:spacing w:after="120" w:line="240" w:lineRule="auto"/>
        <w:jc w:val="both"/>
        <w:rPr>
          <w:lang w:val="en-US"/>
        </w:rPr>
      </w:pPr>
      <w:r w:rsidRPr="00AF01F1">
        <w:rPr>
          <w:lang w:val="en-US"/>
        </w:rPr>
        <w:t xml:space="preserve">Furthermore, we improved the clarity of the description of the data pre-processing step in </w:t>
      </w:r>
      <w:proofErr w:type="spellStart"/>
      <w:r w:rsidRPr="00AF01F1">
        <w:rPr>
          <w:lang w:val="en-US"/>
        </w:rPr>
        <w:t>metabolomics</w:t>
      </w:r>
      <w:proofErr w:type="spellEnd"/>
      <w:r w:rsidRPr="00AF01F1">
        <w:rPr>
          <w:lang w:val="en-US"/>
        </w:rPr>
        <w:t xml:space="preserve"> (see </w:t>
      </w:r>
      <w:r w:rsidR="00515B50">
        <w:rPr>
          <w:lang w:val="en-US"/>
        </w:rPr>
        <w:t>Methods section</w:t>
      </w:r>
      <w:r w:rsidRPr="00AF01F1">
        <w:rPr>
          <w:lang w:val="en-US"/>
        </w:rPr>
        <w:t>). Existing software tools for metabolite enrichment analysis are now included</w:t>
      </w:r>
      <w:r w:rsidR="00515B50">
        <w:rPr>
          <w:lang w:val="en-US"/>
        </w:rPr>
        <w:t xml:space="preserve"> in subsection 2.2</w:t>
      </w:r>
      <w:r w:rsidRPr="00AF01F1">
        <w:rPr>
          <w:lang w:val="en-US"/>
        </w:rPr>
        <w:t>.</w:t>
      </w:r>
    </w:p>
    <w:p w:rsidR="005F7FEB" w:rsidRDefault="005F7FEB" w:rsidP="00CF730B">
      <w:pPr>
        <w:pStyle w:val="EKUTTextkrper"/>
        <w:spacing w:after="120" w:line="240" w:lineRule="auto"/>
        <w:contextualSpacing w:val="0"/>
        <w:jc w:val="both"/>
        <w:rPr>
          <w:rFonts w:cs="Times New Roman"/>
          <w:b/>
          <w:color w:val="4BACC6" w:themeColor="accent5"/>
          <w:sz w:val="24"/>
          <w:szCs w:val="24"/>
          <w:lang w:val="en-GB"/>
        </w:rPr>
      </w:pPr>
    </w:p>
    <w:p w:rsidR="005F7FEB" w:rsidRDefault="005F7FEB" w:rsidP="00CF730B">
      <w:pPr>
        <w:pStyle w:val="EKUTTextkrper"/>
        <w:spacing w:after="120" w:line="240" w:lineRule="auto"/>
        <w:contextualSpacing w:val="0"/>
        <w:jc w:val="both"/>
        <w:rPr>
          <w:rFonts w:cs="Times New Roman"/>
          <w:b/>
          <w:color w:val="4BACC6" w:themeColor="accent5"/>
          <w:sz w:val="24"/>
          <w:szCs w:val="24"/>
          <w:lang w:val="en-GB"/>
        </w:rPr>
      </w:pPr>
    </w:p>
    <w:p w:rsidR="00233875" w:rsidRPr="008E5AD4" w:rsidRDefault="00233875" w:rsidP="00CF730B">
      <w:pPr>
        <w:pStyle w:val="EKUTTextkrper"/>
        <w:spacing w:after="120" w:line="240" w:lineRule="auto"/>
        <w:contextualSpacing w:val="0"/>
        <w:jc w:val="both"/>
        <w:rPr>
          <w:b/>
          <w:sz w:val="24"/>
        </w:rPr>
      </w:pPr>
      <w:proofErr w:type="spellStart"/>
      <w:r w:rsidRPr="008E5AD4">
        <w:rPr>
          <w:b/>
          <w:sz w:val="24"/>
        </w:rPr>
        <w:lastRenderedPageBreak/>
        <w:t>Reviewer</w:t>
      </w:r>
      <w:proofErr w:type="spellEnd"/>
      <w:r w:rsidRPr="008E5AD4">
        <w:rPr>
          <w:b/>
          <w:sz w:val="24"/>
        </w:rPr>
        <w:t xml:space="preserve"> 2 </w:t>
      </w:r>
      <w:proofErr w:type="spellStart"/>
      <w:r w:rsidRPr="008E5AD4">
        <w:rPr>
          <w:b/>
          <w:sz w:val="24"/>
        </w:rPr>
        <w:t>comments</w:t>
      </w:r>
      <w:proofErr w:type="spellEnd"/>
      <w:r w:rsidRPr="008E5AD4">
        <w:rPr>
          <w:b/>
          <w:sz w:val="24"/>
        </w:rPr>
        <w:t xml:space="preserve">: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Since the main purpose of the manuscript is the integration of </w:t>
      </w:r>
      <w:proofErr w:type="spellStart"/>
      <w:r w:rsidRPr="00D548E9">
        <w:rPr>
          <w:i/>
          <w:color w:val="C00000"/>
          <w:lang w:val="en-US"/>
        </w:rPr>
        <w:t>metabolomics</w:t>
      </w:r>
      <w:proofErr w:type="spellEnd"/>
      <w:r w:rsidRPr="00D548E9">
        <w:rPr>
          <w:i/>
          <w:color w:val="C00000"/>
          <w:lang w:val="en-US"/>
        </w:rPr>
        <w:t xml:space="preserve"> data, an example application from the viewpoint of </w:t>
      </w:r>
      <w:proofErr w:type="spellStart"/>
      <w:r w:rsidRPr="00D548E9">
        <w:rPr>
          <w:i/>
          <w:color w:val="C00000"/>
          <w:lang w:val="en-US"/>
        </w:rPr>
        <w:t>metabolomics</w:t>
      </w:r>
      <w:proofErr w:type="spellEnd"/>
      <w:r w:rsidRPr="00D548E9">
        <w:rPr>
          <w:i/>
          <w:color w:val="C00000"/>
          <w:lang w:val="en-US"/>
        </w:rPr>
        <w:t xml:space="preserve"> would be important.</w:t>
      </w:r>
    </w:p>
    <w:p w:rsidR="00233875" w:rsidRPr="00D548E9" w:rsidRDefault="00233875" w:rsidP="00CF730B">
      <w:pPr>
        <w:spacing w:after="120" w:line="240" w:lineRule="auto"/>
        <w:jc w:val="both"/>
        <w:rPr>
          <w:lang w:val="en-US"/>
        </w:rPr>
      </w:pPr>
      <w:r w:rsidRPr="00D548E9">
        <w:rPr>
          <w:lang w:val="en-US"/>
        </w:rPr>
        <w:t>In the EU-funded project MARCAR (</w:t>
      </w:r>
      <w:hyperlink r:id="rId10" w:history="1">
        <w:r w:rsidRPr="00D548E9">
          <w:rPr>
            <w:rStyle w:val="Hyperlink"/>
            <w:color w:val="auto"/>
            <w:lang w:val="en-US"/>
          </w:rPr>
          <w:t>http://www.imi-marcar.eu</w:t>
        </w:r>
      </w:hyperlink>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w:t>
      </w:r>
      <w:proofErr w:type="spellStart"/>
      <w:r w:rsidRPr="00D548E9">
        <w:rPr>
          <w:lang w:val="en-US"/>
        </w:rPr>
        <w:t>catenin</w:t>
      </w:r>
      <w:proofErr w:type="spellEnd"/>
      <w:r w:rsidRPr="00D548E9">
        <w:rPr>
          <w:lang w:val="en-US"/>
        </w:rPr>
        <w:t xml:space="preserve"> </w:t>
      </w:r>
      <w:proofErr w:type="spellStart"/>
      <w:r w:rsidRPr="00D548E9">
        <w:rPr>
          <w:lang w:val="en-US"/>
        </w:rPr>
        <w:t>oncoproteins</w:t>
      </w:r>
      <w:proofErr w:type="spellEnd"/>
      <w:r w:rsidRPr="00D548E9">
        <w:rPr>
          <w:lang w:val="en-US"/>
        </w:rPr>
        <w:t xml:space="preserve"> in mouse liver tumors” was recently accepted for publication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w:t>
      </w:r>
      <w:proofErr w:type="spellStart"/>
      <w:r w:rsidRPr="00D548E9">
        <w:rPr>
          <w:lang w:val="en-US"/>
        </w:rPr>
        <w:t>metabolomics</w:t>
      </w:r>
      <w:proofErr w:type="spellEnd"/>
      <w:r w:rsidRPr="00D548E9">
        <w:rPr>
          <w:lang w:val="en-US"/>
        </w:rPr>
        <w:t xml:space="preserve"> data obtained from mouse liver tumors differing in their mutation status. As proposed by Reviewer 2 this work is now cited and shortly explained in the revised version of the manuscript.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w:t>
      </w:r>
      <w:proofErr w:type="spellStart"/>
      <w:r w:rsidRPr="00D548E9">
        <w:rPr>
          <w:lang w:val="en-US"/>
        </w:rPr>
        <w:t>metabolomics</w:t>
      </w:r>
      <w:proofErr w:type="spellEnd"/>
      <w:r w:rsidRPr="00D548E9">
        <w:rPr>
          <w:lang w:val="en-US"/>
        </w:rPr>
        <w:t xml:space="preserve">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w:t>
      </w:r>
      <w:proofErr w:type="spellStart"/>
      <w:r w:rsidRPr="00D548E9">
        <w:rPr>
          <w:i/>
          <w:color w:val="C00000"/>
          <w:lang w:val="en-US"/>
        </w:rPr>
        <w:t>metabolomics</w:t>
      </w:r>
      <w:proofErr w:type="spellEnd"/>
      <w:r w:rsidRPr="00D548E9">
        <w:rPr>
          <w:i/>
          <w:color w:val="C00000"/>
          <w:lang w:val="en-US"/>
        </w:rPr>
        <w:t xml:space="preserve">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D548E9" w:rsidRPr="000B1CC1" w:rsidRDefault="00233875" w:rsidP="00CF730B">
      <w:pPr>
        <w:spacing w:before="120" w:line="240" w:lineRule="auto"/>
        <w:jc w:val="both"/>
        <w:rPr>
          <w:color w:val="0070C0"/>
        </w:rPr>
      </w:pPr>
      <w:r w:rsidRPr="00D548E9">
        <w:rPr>
          <w:b/>
          <w:color w:val="0070C0"/>
        </w:rPr>
        <w:t>TODO:</w:t>
      </w:r>
      <w:r w:rsidRPr="00D548E9">
        <w:rPr>
          <w:color w:val="0070C0"/>
        </w:rPr>
        <w:t xml:space="preserve"> Tabelle, die die Fähigkeiten vergleicht. Da natürlich insbesondere auf Interaktive Analyse eingehen. (Java </w:t>
      </w:r>
      <w:proofErr w:type="spellStart"/>
      <w:r w:rsidRPr="00D548E9">
        <w:rPr>
          <w:color w:val="0070C0"/>
        </w:rPr>
        <w:t>standalone</w:t>
      </w:r>
      <w:proofErr w:type="spellEnd"/>
      <w:r w:rsidRPr="00D548E9">
        <w:rPr>
          <w:color w:val="0070C0"/>
        </w:rPr>
        <w:t xml:space="preserve"> </w:t>
      </w:r>
      <w:proofErr w:type="spellStart"/>
      <w:r w:rsidRPr="00D548E9">
        <w:rPr>
          <w:color w:val="0070C0"/>
        </w:rPr>
        <w:t>tool</w:t>
      </w:r>
      <w:proofErr w:type="spellEnd"/>
      <w:r w:rsidRPr="00D548E9">
        <w:rPr>
          <w:color w:val="0070C0"/>
        </w:rPr>
        <w:t xml:space="preserve">). Des Weiteren auf </w:t>
      </w:r>
      <w:proofErr w:type="spellStart"/>
      <w:r w:rsidRPr="00D548E9">
        <w:rPr>
          <w:color w:val="0070C0"/>
        </w:rPr>
        <w:t>gradielle</w:t>
      </w:r>
      <w:proofErr w:type="spellEnd"/>
      <w:r w:rsidRPr="00D548E9">
        <w:rPr>
          <w:color w:val="0070C0"/>
        </w:rPr>
        <w:t xml:space="preserve"> Farbdarstellung im Vergleich zu </w:t>
      </w:r>
      <w:proofErr w:type="spellStart"/>
      <w:r w:rsidRPr="00D548E9">
        <w:rPr>
          <w:color w:val="0070C0"/>
        </w:rPr>
        <w:t>MassTRIX</w:t>
      </w:r>
      <w:proofErr w:type="spellEnd"/>
      <w:r w:rsidRPr="00D548E9">
        <w:rPr>
          <w:color w:val="0070C0"/>
        </w:rPr>
        <w:t xml:space="preserve">. Nachteil wäre die Annotation, aber ich denke hier kann man durchaus argumentieren, dass man dies ja professionellen Tools wie z.B. </w:t>
      </w:r>
      <w:proofErr w:type="spellStart"/>
      <w:r w:rsidRPr="00D548E9">
        <w:rPr>
          <w:color w:val="0070C0"/>
        </w:rPr>
        <w:t>OpenMS</w:t>
      </w:r>
      <w:proofErr w:type="spellEnd"/>
      <w:r w:rsidRPr="00D548E9">
        <w:rPr>
          <w:color w:val="0070C0"/>
        </w:rPr>
        <w:t>/XCMS überlassen kann. Tools die für einen Vergleich in Frage kommen: (</w:t>
      </w:r>
      <w:proofErr w:type="spellStart"/>
      <w:r w:rsidRPr="00D548E9">
        <w:rPr>
          <w:color w:val="0070C0"/>
        </w:rPr>
        <w:t>MetaMapp</w:t>
      </w:r>
      <w:proofErr w:type="spellEnd"/>
      <w:r w:rsidRPr="00D548E9">
        <w:rPr>
          <w:color w:val="0070C0"/>
        </w:rPr>
        <w:t xml:space="preserve"> (O. </w:t>
      </w:r>
      <w:proofErr w:type="spellStart"/>
      <w:r w:rsidRPr="00D548E9">
        <w:rPr>
          <w:color w:val="0070C0"/>
        </w:rPr>
        <w:t>Fiehn</w:t>
      </w:r>
      <w:proofErr w:type="spellEnd"/>
      <w:r w:rsidRPr="00D548E9">
        <w:rPr>
          <w:color w:val="0070C0"/>
        </w:rPr>
        <w:t xml:space="preserve">), </w:t>
      </w:r>
      <w:proofErr w:type="spellStart"/>
      <w:r w:rsidRPr="00D548E9">
        <w:rPr>
          <w:color w:val="0070C0"/>
        </w:rPr>
        <w:t>MassTRIX</w:t>
      </w:r>
      <w:proofErr w:type="spellEnd"/>
      <w:r w:rsidRPr="00D548E9">
        <w:rPr>
          <w:color w:val="0070C0"/>
        </w:rPr>
        <w:t xml:space="preserve"> (Philippe), </w:t>
      </w:r>
      <w:proofErr w:type="spellStart"/>
      <w:r w:rsidRPr="00D548E9">
        <w:rPr>
          <w:color w:val="0070C0"/>
        </w:rPr>
        <w:t>Paintomics</w:t>
      </w:r>
      <w:proofErr w:type="spellEnd"/>
      <w:r w:rsidRPr="00D548E9">
        <w:rPr>
          <w:color w:val="0070C0"/>
        </w:rPr>
        <w:t xml:space="preserve"> , </w:t>
      </w:r>
      <w:proofErr w:type="spellStart"/>
      <w:r w:rsidRPr="00D548E9">
        <w:rPr>
          <w:color w:val="0070C0"/>
        </w:rPr>
        <w:t>Cytoscape</w:t>
      </w:r>
      <w:proofErr w:type="spellEnd"/>
      <w:r w:rsidRPr="00D548E9">
        <w:rPr>
          <w:color w:val="0070C0"/>
        </w:rPr>
        <w:t xml:space="preserve">) </w:t>
      </w:r>
    </w:p>
    <w:p w:rsidR="00233875" w:rsidRPr="00D548E9" w:rsidRDefault="00233875" w:rsidP="00CF730B">
      <w:pPr>
        <w:spacing w:before="120" w:after="120" w:line="240" w:lineRule="auto"/>
        <w:jc w:val="both"/>
        <w:rPr>
          <w:lang w:val="en-US"/>
        </w:rPr>
      </w:pPr>
      <w:r w:rsidRPr="00D548E9">
        <w:rPr>
          <w:lang w:val="en-US"/>
        </w:rPr>
        <w:t xml:space="preserve">Furthermore, </w:t>
      </w:r>
      <w:proofErr w:type="spellStart"/>
      <w:r w:rsidRPr="00D548E9">
        <w:rPr>
          <w:lang w:val="en-US"/>
        </w:rPr>
        <w:t>InCroMAP</w:t>
      </w:r>
      <w:proofErr w:type="spellEnd"/>
      <w:r w:rsidRPr="00D548E9">
        <w:rPr>
          <w:lang w:val="en-US"/>
        </w:rPr>
        <w:t xml:space="preserve"> provides unique features for data analysis and visualization which are not offered by any published software.  Most notably, a structured, global view of the changes in cellular metabolism can be generated by using the metabolic overview feature provided by </w:t>
      </w:r>
      <w:proofErr w:type="spellStart"/>
      <w:r w:rsidRPr="00D548E9">
        <w:rPr>
          <w:lang w:val="en-US"/>
        </w:rPr>
        <w:t>InCroMAP</w:t>
      </w:r>
      <w:proofErr w:type="spellEnd"/>
      <w:r w:rsidRPr="00D548E9">
        <w:rPr>
          <w:lang w:val="en-US"/>
        </w:rPr>
        <w:t xml:space="preserve"> (shown in Figure 2B). While </w:t>
      </w:r>
      <w:proofErr w:type="spellStart"/>
      <w:r w:rsidRPr="00D548E9">
        <w:rPr>
          <w:lang w:val="en-US"/>
        </w:rPr>
        <w:t>InCroMAP</w:t>
      </w:r>
      <w:proofErr w:type="spellEnd"/>
      <w:r w:rsidRPr="00D548E9">
        <w:rPr>
          <w:lang w:val="en-US"/>
        </w:rPr>
        <w:t xml:space="preserve"> facilitates the integrated analysis of </w:t>
      </w:r>
      <w:proofErr w:type="spellStart"/>
      <w:r w:rsidRPr="00D548E9">
        <w:rPr>
          <w:lang w:val="en-US"/>
        </w:rPr>
        <w:t>metabolomics</w:t>
      </w:r>
      <w:proofErr w:type="spellEnd"/>
      <w:r w:rsidRPr="00D548E9">
        <w:rPr>
          <w:lang w:val="en-US"/>
        </w:rPr>
        <w:t xml:space="preserve">, mRNA, </w:t>
      </w:r>
      <w:proofErr w:type="spellStart"/>
      <w:r w:rsidRPr="00D548E9">
        <w:rPr>
          <w:lang w:val="en-US"/>
        </w:rPr>
        <w:t>miRNA</w:t>
      </w:r>
      <w:proofErr w:type="spellEnd"/>
      <w:r w:rsidRPr="00D548E9">
        <w:rPr>
          <w:lang w:val="en-US"/>
        </w:rPr>
        <w:t xml:space="preserve">, protein and DNA </w:t>
      </w:r>
      <w:proofErr w:type="spellStart"/>
      <w:r w:rsidRPr="00D548E9">
        <w:rPr>
          <w:lang w:val="en-US"/>
        </w:rPr>
        <w:t>methylation</w:t>
      </w:r>
      <w:proofErr w:type="spellEnd"/>
      <w:r w:rsidRPr="00D548E9">
        <w:rPr>
          <w:lang w:val="en-US"/>
        </w:rPr>
        <w:t xml:space="preserve"> data, other pathway analysis tools are limited to either solely </w:t>
      </w:r>
      <w:proofErr w:type="spellStart"/>
      <w:r w:rsidRPr="00D548E9">
        <w:rPr>
          <w:lang w:val="en-US"/>
        </w:rPr>
        <w:t>metabolomics</w:t>
      </w:r>
      <w:proofErr w:type="spellEnd"/>
      <w:r w:rsidRPr="00D548E9">
        <w:rPr>
          <w:lang w:val="en-US"/>
        </w:rPr>
        <w:t xml:space="preserve"> data (e.g., MSEA, </w:t>
      </w:r>
      <w:proofErr w:type="spellStart"/>
      <w:r w:rsidRPr="00D548E9">
        <w:rPr>
          <w:lang w:val="en-US"/>
        </w:rPr>
        <w:t>MBRole</w:t>
      </w:r>
      <w:proofErr w:type="spellEnd"/>
      <w:r w:rsidRPr="00D548E9">
        <w:rPr>
          <w:lang w:val="en-US"/>
        </w:rPr>
        <w:t xml:space="preserve">, MPEA) or facilitate the integration with only one other platform (e.g., </w:t>
      </w:r>
      <w:proofErr w:type="spellStart"/>
      <w:r w:rsidRPr="00D548E9">
        <w:rPr>
          <w:lang w:val="en-US"/>
        </w:rPr>
        <w:t>IMPaLA</w:t>
      </w:r>
      <w:proofErr w:type="spellEnd"/>
      <w:r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1F64A0" w:rsidRDefault="00233875" w:rsidP="00CF730B">
      <w:pPr>
        <w:spacing w:before="120" w:after="120" w:line="240" w:lineRule="auto"/>
        <w:jc w:val="both"/>
        <w:rPr>
          <w:i/>
          <w:color w:val="4BACC6" w:themeColor="accent5"/>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670589">
        <w:rPr>
          <w:i/>
          <w:color w:val="4BACC6" w:themeColor="accent5"/>
          <w:lang w:val="en-US"/>
        </w:rPr>
        <w:t>.</w:t>
      </w:r>
    </w:p>
    <w:p w:rsidR="00233875" w:rsidRPr="00D548E9"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confirmed </w:t>
      </w:r>
      <w:proofErr w:type="spellStart"/>
      <w:r w:rsidRPr="00D548E9">
        <w:rPr>
          <w:lang w:val="en-US"/>
        </w:rPr>
        <w:t>miRNA</w:t>
      </w:r>
      <w:proofErr w:type="spellEnd"/>
      <w:r w:rsidRPr="00D548E9">
        <w:rPr>
          <w:lang w:val="en-US"/>
        </w:rPr>
        <w:t>-mRNA interactions.</w:t>
      </w:r>
    </w:p>
    <w:p w:rsidR="00233875" w:rsidRPr="00670589" w:rsidRDefault="00233875" w:rsidP="00CF730B">
      <w:pPr>
        <w:spacing w:before="120" w:line="240" w:lineRule="auto"/>
        <w:jc w:val="both"/>
      </w:pPr>
      <w:r w:rsidRPr="008E5AD4">
        <w:t xml:space="preserve">TODO: Lars: bezüglich </w:t>
      </w:r>
      <w:proofErr w:type="spellStart"/>
      <w:r w:rsidRPr="008E5AD4">
        <w:t>Metabolite</w:t>
      </w:r>
      <w:proofErr w:type="spellEnd"/>
      <w:r w:rsidRPr="008E5AD4">
        <w:t xml:space="preserve"> Identifier? </w:t>
      </w:r>
      <w:r>
        <w:t xml:space="preserve">Mega neues gibt es da wohl nicht, ich habe nur versucht möglichst sorgfältig zu sein beim </w:t>
      </w:r>
      <w:proofErr w:type="spellStart"/>
      <w:r>
        <w:t>mergen</w:t>
      </w:r>
      <w:proofErr w:type="spellEnd"/>
      <w:r>
        <w:t xml:space="preserve"> der Datenbanken und immer wieder kontrolliert. Es gab ja auch eine Studie die Überlappungen gesucht hat und dann auch Strukturen verglichen hat. Ich gucke mal ob ich da was finde. Zusätzlich versuche ich noch was wegen </w:t>
      </w:r>
      <w:proofErr w:type="spellStart"/>
      <w:r>
        <w:t>InChIKeys</w:t>
      </w:r>
      <w:proofErr w:type="spellEnd"/>
      <w:r>
        <w:t xml:space="preserve"> zu finden.</w:t>
      </w:r>
    </w:p>
    <w:p w:rsidR="00233875" w:rsidRPr="00D548E9" w:rsidRDefault="00233875" w:rsidP="00CF730B">
      <w:pPr>
        <w:spacing w:before="120" w:after="120" w:line="240" w:lineRule="auto"/>
        <w:jc w:val="both"/>
        <w:rPr>
          <w:i/>
          <w:color w:val="C00000"/>
          <w:lang w:val="en-US"/>
        </w:rPr>
      </w:pPr>
      <w:r w:rsidRPr="00D548E9">
        <w:rPr>
          <w:i/>
          <w:color w:val="C00000"/>
          <w:lang w:val="en-US"/>
        </w:rPr>
        <w:lastRenderedPageBreak/>
        <w:t xml:space="preserve">4) To identify pathways affected by an experiment, a "special pathway enrichment" </w:t>
      </w:r>
      <w:proofErr w:type="gramStart"/>
      <w:r w:rsidRPr="00D548E9">
        <w:rPr>
          <w:i/>
          <w:color w:val="C00000"/>
          <w:lang w:val="en-US"/>
        </w:rPr>
        <w:t>algorithms</w:t>
      </w:r>
      <w:proofErr w:type="gramEnd"/>
      <w:r w:rsidRPr="00D548E9">
        <w:rPr>
          <w:i/>
          <w:color w:val="C00000"/>
          <w:lang w:val="en-US"/>
        </w:rPr>
        <w:t xml:space="preserve"> is used, but a detailed description of how </w:t>
      </w:r>
      <w:proofErr w:type="spellStart"/>
      <w:r w:rsidRPr="00D548E9">
        <w:rPr>
          <w:i/>
          <w:color w:val="C00000"/>
          <w:lang w:val="en-US"/>
        </w:rPr>
        <w:t>metabolomics</w:t>
      </w:r>
      <w:proofErr w:type="spellEnd"/>
      <w:r w:rsidRPr="00D548E9">
        <w:rPr>
          <w:i/>
          <w:color w:val="C00000"/>
          <w:lang w:val="en-US"/>
        </w:rPr>
        <w:t xml:space="preserve"> data are included in the algorithm is missing as well as a comparison to pathway enrichment of other tools. Also, what does it mean "pathway enrichment is limited to targeted </w:t>
      </w:r>
      <w:proofErr w:type="spellStart"/>
      <w:r w:rsidRPr="00D548E9">
        <w:rPr>
          <w:i/>
          <w:color w:val="C00000"/>
          <w:lang w:val="en-US"/>
        </w:rPr>
        <w:t>metabolomics</w:t>
      </w:r>
      <w:proofErr w:type="spellEnd"/>
      <w:r w:rsidRPr="00D548E9">
        <w:rPr>
          <w:i/>
          <w:color w:val="C00000"/>
          <w:lang w:val="en-US"/>
        </w:rPr>
        <w:t xml:space="preserve">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Pr="00D548E9" w:rsidRDefault="00233875" w:rsidP="00CF730B">
      <w:pPr>
        <w:spacing w:before="120" w:line="240" w:lineRule="auto"/>
        <w:jc w:val="both"/>
        <w:rPr>
          <w:lang w:val="en-US"/>
        </w:rPr>
      </w:pPr>
      <w:r w:rsidRPr="00D548E9">
        <w:rPr>
          <w:lang w:val="en-US"/>
        </w:rPr>
        <w:t>We thank Reviewer 2 for this critical remark. To the best of our knowledge only one other software (</w:t>
      </w:r>
      <w:proofErr w:type="spellStart"/>
      <w:r w:rsidRPr="00D548E9">
        <w:rPr>
          <w:lang w:val="en-US"/>
        </w:rPr>
        <w:t>IMPaLA</w:t>
      </w:r>
      <w:proofErr w:type="spellEnd"/>
      <w:r w:rsidRPr="00D548E9">
        <w:rPr>
          <w:lang w:val="en-US"/>
        </w:rPr>
        <w:t xml:space="preserve">) exists which is capable of the integrating both </w:t>
      </w:r>
      <w:proofErr w:type="spellStart"/>
      <w:r w:rsidRPr="00D548E9">
        <w:rPr>
          <w:lang w:val="en-US"/>
        </w:rPr>
        <w:t>transcriptomics</w:t>
      </w:r>
      <w:proofErr w:type="spellEnd"/>
      <w:r w:rsidRPr="00D548E9">
        <w:rPr>
          <w:lang w:val="en-US"/>
        </w:rPr>
        <w:t xml:space="preserve"> and </w:t>
      </w:r>
      <w:proofErr w:type="spellStart"/>
      <w:r w:rsidRPr="00D548E9">
        <w:rPr>
          <w:lang w:val="en-US"/>
        </w:rPr>
        <w:t>metabolomics</w:t>
      </w:r>
      <w:proofErr w:type="spellEnd"/>
      <w:r w:rsidRPr="00D548E9">
        <w:rPr>
          <w:lang w:val="en-US"/>
        </w:rPr>
        <w:t xml:space="preserve">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t>
      </w:r>
      <w:proofErr w:type="spellStart"/>
      <w:r w:rsidRPr="00D548E9">
        <w:rPr>
          <w:lang w:val="en-US"/>
        </w:rPr>
        <w:t>Wilcoxon</w:t>
      </w:r>
      <w:proofErr w:type="spellEnd"/>
      <w:r w:rsidRPr="00D548E9">
        <w:rPr>
          <w:lang w:val="en-US"/>
        </w:rPr>
        <w:t xml:space="preserve"> enrichment analysis. Then, as the experiments are considered independent, the joint p-value is computed based on the product of the p-values calculated for the individual platforms. On the contrary,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Pr="00D548E9">
        <w:rPr>
          <w:lang w:val="en-US"/>
        </w:rPr>
        <w:t xml:space="preserve"> and </w:t>
      </w:r>
      <w:proofErr w:type="spellStart"/>
      <w:r w:rsidRPr="00D548E9">
        <w:rPr>
          <w:lang w:val="en-US"/>
        </w:rPr>
        <w:t>IMPaLA</w:t>
      </w:r>
      <w:proofErr w:type="spellEnd"/>
      <w:r w:rsidRPr="00D548E9">
        <w:rPr>
          <w:lang w:val="en-US"/>
        </w:rPr>
        <w:t xml:space="preserve"> algorithm for cross-platform enrichments are now explained comprehensively in the revised version of the manuscript.</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Natürlich auch </w:t>
      </w:r>
      <w:proofErr w:type="spellStart"/>
      <w:r w:rsidRPr="00D548E9">
        <w:rPr>
          <w:color w:val="0070C0"/>
        </w:rPr>
        <w:t>untargeted</w:t>
      </w:r>
      <w:proofErr w:type="spellEnd"/>
      <w:r w:rsidRPr="00D548E9">
        <w:rPr>
          <w:color w:val="0070C0"/>
        </w:rPr>
        <w:t xml:space="preserve"> </w:t>
      </w:r>
      <w:proofErr w:type="spellStart"/>
      <w:r w:rsidRPr="00D548E9">
        <w:rPr>
          <w:color w:val="0070C0"/>
        </w:rPr>
        <w:t>daten</w:t>
      </w:r>
      <w:proofErr w:type="spellEnd"/>
      <w:r w:rsidRPr="00D548E9">
        <w:rPr>
          <w:color w:val="0070C0"/>
        </w:rPr>
        <w:t xml:space="preserve"> möglich, aber Problem der Signifikanz bei </w:t>
      </w:r>
      <w:proofErr w:type="spellStart"/>
      <w:r w:rsidRPr="00D548E9">
        <w:rPr>
          <w:color w:val="0070C0"/>
        </w:rPr>
        <w:t>Enrichment</w:t>
      </w:r>
      <w:proofErr w:type="spellEnd"/>
      <w:r w:rsidRPr="00D548E9">
        <w:rPr>
          <w:color w:val="0070C0"/>
        </w:rPr>
        <w:t xml:space="preserve"> wegen </w:t>
      </w:r>
      <w:proofErr w:type="spellStart"/>
      <w:r w:rsidRPr="00D548E9">
        <w:rPr>
          <w:color w:val="0070C0"/>
        </w:rPr>
        <w:t>many-to-many</w:t>
      </w:r>
      <w:proofErr w:type="spellEnd"/>
      <w:r w:rsidRPr="00D548E9">
        <w:rPr>
          <w:color w:val="0070C0"/>
        </w:rPr>
        <w:t xml:space="preserve"> </w:t>
      </w:r>
      <w:proofErr w:type="spellStart"/>
      <w:r w:rsidRPr="00D548E9">
        <w:rPr>
          <w:color w:val="0070C0"/>
        </w:rPr>
        <w:t>Mappings</w:t>
      </w:r>
      <w:proofErr w:type="spellEnd"/>
      <w:r w:rsidRPr="00D548E9">
        <w:rPr>
          <w:color w:val="0070C0"/>
        </w:rPr>
        <w:t xml:space="preserve"> beschreiben. Ebenso werden keine möglichen </w:t>
      </w:r>
      <w:proofErr w:type="spellStart"/>
      <w:r w:rsidRPr="00D548E9">
        <w:rPr>
          <w:color w:val="0070C0"/>
        </w:rPr>
        <w:t>Metabolitannotationen</w:t>
      </w:r>
      <w:proofErr w:type="spellEnd"/>
      <w:r w:rsidRPr="00D548E9">
        <w:rPr>
          <w:color w:val="0070C0"/>
        </w:rPr>
        <w:t xml:space="preserve"> generiert. Tools zitieren und vergleich anstreben. Zeigen, dass </w:t>
      </w:r>
      <w:proofErr w:type="spellStart"/>
      <w:r w:rsidRPr="00D548E9">
        <w:rPr>
          <w:color w:val="0070C0"/>
        </w:rPr>
        <w:t>analyse</w:t>
      </w:r>
      <w:proofErr w:type="spellEnd"/>
      <w:r w:rsidRPr="00D548E9">
        <w:rPr>
          <w:color w:val="0070C0"/>
        </w:rPr>
        <w:t xml:space="preserve"> mit many-2-many </w:t>
      </w:r>
      <w:proofErr w:type="spellStart"/>
      <w:r w:rsidRPr="00D548E9">
        <w:rPr>
          <w:color w:val="0070C0"/>
        </w:rPr>
        <w:t>mappings</w:t>
      </w:r>
      <w:proofErr w:type="spellEnd"/>
      <w:r w:rsidRPr="00D548E9">
        <w:rPr>
          <w:color w:val="0070C0"/>
        </w:rPr>
        <w:t xml:space="preserve"> noch </w:t>
      </w:r>
      <w:r w:rsidR="00980F54">
        <w:rPr>
          <w:color w:val="0070C0"/>
        </w:rPr>
        <w:t>p</w:t>
      </w:r>
      <w:r w:rsidRPr="00D548E9">
        <w:rPr>
          <w:color w:val="0070C0"/>
        </w:rPr>
        <w:t>roblematisch ist.</w:t>
      </w:r>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w:t>
      </w:r>
      <w:proofErr w:type="spellStart"/>
      <w:r w:rsidRPr="00D548E9">
        <w:rPr>
          <w:lang w:val="en-US"/>
        </w:rPr>
        <w:t>metabolomics</w:t>
      </w:r>
      <w:proofErr w:type="spellEnd"/>
      <w:r w:rsidRPr="00D548E9">
        <w:rPr>
          <w:lang w:val="en-US"/>
        </w:rPr>
        <w:t xml:space="preserve">,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w:t>
      </w:r>
      <w:proofErr w:type="spellStart"/>
      <w:r w:rsidRPr="00D548E9">
        <w:rPr>
          <w:lang w:val="en-US"/>
        </w:rPr>
        <w:t>metabolomics</w:t>
      </w:r>
      <w:proofErr w:type="spellEnd"/>
      <w:r w:rsidRPr="00D548E9">
        <w:rPr>
          <w:lang w:val="en-US"/>
        </w:rPr>
        <w:t xml:space="preserve"> data visualization, we agree with Reviewer 2 that it is more appropriate to show a metabolic pathway in Figure 2B. The Figure was now updated and depicts the KEGG pathway “</w:t>
      </w:r>
      <w:proofErr w:type="spellStart"/>
      <w:r w:rsidRPr="00D548E9">
        <w:rPr>
          <w:lang w:val="en-US"/>
        </w:rPr>
        <w:t>Glycolysis</w:t>
      </w:r>
      <w:proofErr w:type="spellEnd"/>
      <w:r w:rsidRPr="00D548E9">
        <w:rPr>
          <w:lang w:val="en-US"/>
        </w:rPr>
        <w:t xml:space="preserve"> / </w:t>
      </w:r>
      <w:proofErr w:type="spellStart"/>
      <w:r w:rsidRPr="00D548E9">
        <w:rPr>
          <w:lang w:val="en-US"/>
        </w:rPr>
        <w:t>Gluconeogenesis</w:t>
      </w:r>
      <w:proofErr w:type="spellEnd"/>
      <w:r w:rsidRPr="00D548E9">
        <w:rPr>
          <w:lang w:val="en-US"/>
        </w:rPr>
        <w:t xml:space="preserve">”.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-mutated mouse liver tumors. As stated previously the corresponding manuscript was recently accepted by the International Journal of Cancer and was added to the submission for the sake of completeness.</w:t>
      </w:r>
    </w:p>
    <w:p w:rsidR="00233875" w:rsidRPr="0084639C" w:rsidRDefault="00233875" w:rsidP="00CF730B">
      <w:pPr>
        <w:spacing w:before="120" w:after="120" w:line="240" w:lineRule="auto"/>
        <w:jc w:val="both"/>
        <w:rPr>
          <w:color w:val="C00000"/>
          <w:lang w:val="en-US"/>
        </w:rPr>
      </w:pPr>
    </w:p>
    <w:p w:rsidR="000B1CC1" w:rsidRDefault="000B1CC1" w:rsidP="00CF730B">
      <w:pPr>
        <w:pStyle w:val="EKUTTextkrper"/>
        <w:spacing w:after="120" w:line="240" w:lineRule="auto"/>
        <w:contextualSpacing w:val="0"/>
        <w:jc w:val="both"/>
        <w:rPr>
          <w:b/>
          <w:sz w:val="24"/>
          <w:lang w:val="en-US"/>
        </w:rPr>
      </w:pP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lastRenderedPageBreak/>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I would also like to know how they implemented the metabolite database for mapping between the different identifiers. This is important, because a lot of people are struggling with harmonizing different </w:t>
      </w:r>
      <w:proofErr w:type="spellStart"/>
      <w:r w:rsidRPr="00D548E9">
        <w:rPr>
          <w:i/>
          <w:color w:val="C00000"/>
          <w:lang w:val="en-US"/>
        </w:rPr>
        <w:t>metabolomics</w:t>
      </w:r>
      <w:proofErr w:type="spellEnd"/>
      <w:r w:rsidRPr="00D548E9">
        <w:rPr>
          <w:i/>
          <w:color w:val="C00000"/>
          <w:lang w:val="en-US"/>
        </w:rPr>
        <w:t xml:space="preserve"> databases</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Nochmal genau beschreiben, wie die Integration gelaufen ist.</w:t>
      </w:r>
    </w:p>
    <w:p w:rsidR="00D548E9" w:rsidRPr="000C45C3" w:rsidRDefault="00D548E9" w:rsidP="00CF730B">
      <w:pPr>
        <w:pStyle w:val="EKUTTextkrper"/>
        <w:spacing w:before="120" w:line="240" w:lineRule="auto"/>
        <w:jc w:val="both"/>
        <w:rPr>
          <w:b/>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11"/>
      <w:headerReference w:type="first" r:id="rId12"/>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30B" w:rsidRDefault="00CF730B" w:rsidP="00006E27">
      <w:pPr>
        <w:spacing w:line="240" w:lineRule="auto"/>
      </w:pPr>
      <w:r>
        <w:separator/>
      </w:r>
    </w:p>
  </w:endnote>
  <w:endnote w:type="continuationSeparator" w:id="0">
    <w:p w:rsidR="00CF730B" w:rsidRDefault="00CF730B"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30B" w:rsidRDefault="00CF730B" w:rsidP="00006E27">
      <w:pPr>
        <w:spacing w:line="240" w:lineRule="auto"/>
      </w:pPr>
      <w:r>
        <w:separator/>
      </w:r>
    </w:p>
  </w:footnote>
  <w:footnote w:type="continuationSeparator" w:id="0">
    <w:p w:rsidR="00CF730B" w:rsidRDefault="00CF730B"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0B" w:rsidRDefault="00CF730B">
    <w:pPr>
      <w:pStyle w:val="Kopfzeile"/>
    </w:pPr>
    <w:r>
      <w:tab/>
    </w:r>
    <w:r>
      <w:tab/>
    </w:r>
    <w:fldSimple w:instr=" PAGE   \* MERGEFORMAT ">
      <w:r w:rsidR="00F5031A">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CF730B" w:rsidRDefault="00CF730B" w:rsidP="009E4427">
    <w:pPr>
      <w:pStyle w:val="Fensterzeile"/>
      <w:framePr w:h="420" w:hRule="exact" w:wrap="notBeside" w:x="1135" w:y="2553"/>
    </w:pPr>
    <w:r>
      <w:t>Universität Tübingen, WSI, J. Eichner, Sand 1, 72076 Tübingen</w:t>
    </w:r>
  </w:p>
  <w:p w:rsidR="00CF730B" w:rsidRDefault="00CF730B"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251657728;visibility:visible">
          <v:imagedata r:id="rId1" o:title="logo rgb"/>
          <w10:wrap type="square"/>
          <w10:anchorlock/>
        </v:shape>
      </w:pict>
    </w:r>
    <w:r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7696"/>
    <w:rsid w:val="000004DA"/>
    <w:rsid w:val="00006E27"/>
    <w:rsid w:val="00015F85"/>
    <w:rsid w:val="000173D0"/>
    <w:rsid w:val="000254D8"/>
    <w:rsid w:val="00037F8B"/>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45CC"/>
    <w:rsid w:val="00357A26"/>
    <w:rsid w:val="00366054"/>
    <w:rsid w:val="003679CA"/>
    <w:rsid w:val="00397D86"/>
    <w:rsid w:val="003A2678"/>
    <w:rsid w:val="003A5BB1"/>
    <w:rsid w:val="003A7696"/>
    <w:rsid w:val="003B2730"/>
    <w:rsid w:val="003C3FA9"/>
    <w:rsid w:val="003C41AC"/>
    <w:rsid w:val="003D1199"/>
    <w:rsid w:val="003F06AA"/>
    <w:rsid w:val="003F786C"/>
    <w:rsid w:val="0040788C"/>
    <w:rsid w:val="00430FDD"/>
    <w:rsid w:val="00441895"/>
    <w:rsid w:val="00445D18"/>
    <w:rsid w:val="004564BF"/>
    <w:rsid w:val="004A0C69"/>
    <w:rsid w:val="004A3F2A"/>
    <w:rsid w:val="004C5DD8"/>
    <w:rsid w:val="004D1F37"/>
    <w:rsid w:val="004D2619"/>
    <w:rsid w:val="00515B50"/>
    <w:rsid w:val="00535F23"/>
    <w:rsid w:val="00556804"/>
    <w:rsid w:val="00562CB2"/>
    <w:rsid w:val="00563844"/>
    <w:rsid w:val="00566077"/>
    <w:rsid w:val="00566FFB"/>
    <w:rsid w:val="00572BAD"/>
    <w:rsid w:val="005936AC"/>
    <w:rsid w:val="005B41C5"/>
    <w:rsid w:val="005B5082"/>
    <w:rsid w:val="005C54F1"/>
    <w:rsid w:val="005E08A3"/>
    <w:rsid w:val="005E08DD"/>
    <w:rsid w:val="005F7FEB"/>
    <w:rsid w:val="00603C03"/>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30E17"/>
    <w:rsid w:val="007366B1"/>
    <w:rsid w:val="00753479"/>
    <w:rsid w:val="0075724A"/>
    <w:rsid w:val="00780253"/>
    <w:rsid w:val="00787A73"/>
    <w:rsid w:val="007A268A"/>
    <w:rsid w:val="007A7CE2"/>
    <w:rsid w:val="007B041A"/>
    <w:rsid w:val="007D5B76"/>
    <w:rsid w:val="007E01F0"/>
    <w:rsid w:val="007E2E62"/>
    <w:rsid w:val="008012F1"/>
    <w:rsid w:val="00811977"/>
    <w:rsid w:val="00820E09"/>
    <w:rsid w:val="00825CC9"/>
    <w:rsid w:val="008333A5"/>
    <w:rsid w:val="00842397"/>
    <w:rsid w:val="008450AF"/>
    <w:rsid w:val="00870AEA"/>
    <w:rsid w:val="00877BFC"/>
    <w:rsid w:val="0088146F"/>
    <w:rsid w:val="008856BE"/>
    <w:rsid w:val="00895568"/>
    <w:rsid w:val="008A7A1E"/>
    <w:rsid w:val="008C1016"/>
    <w:rsid w:val="008C38CD"/>
    <w:rsid w:val="008D2733"/>
    <w:rsid w:val="008F6718"/>
    <w:rsid w:val="0090219F"/>
    <w:rsid w:val="009507EE"/>
    <w:rsid w:val="0097024D"/>
    <w:rsid w:val="00980F54"/>
    <w:rsid w:val="00991BDE"/>
    <w:rsid w:val="00991F6F"/>
    <w:rsid w:val="009940A6"/>
    <w:rsid w:val="009C0C04"/>
    <w:rsid w:val="009E4427"/>
    <w:rsid w:val="009F158C"/>
    <w:rsid w:val="00A06E2F"/>
    <w:rsid w:val="00A117C6"/>
    <w:rsid w:val="00A131A1"/>
    <w:rsid w:val="00A164B0"/>
    <w:rsid w:val="00A33905"/>
    <w:rsid w:val="00A55325"/>
    <w:rsid w:val="00A6060C"/>
    <w:rsid w:val="00A661D2"/>
    <w:rsid w:val="00A96256"/>
    <w:rsid w:val="00AA1F85"/>
    <w:rsid w:val="00AA3C3E"/>
    <w:rsid w:val="00AA6021"/>
    <w:rsid w:val="00AC5F3C"/>
    <w:rsid w:val="00AC5F92"/>
    <w:rsid w:val="00AE5E46"/>
    <w:rsid w:val="00AF01F1"/>
    <w:rsid w:val="00AF0FF8"/>
    <w:rsid w:val="00AF3FD4"/>
    <w:rsid w:val="00AF40D2"/>
    <w:rsid w:val="00B07D81"/>
    <w:rsid w:val="00B1399B"/>
    <w:rsid w:val="00B3794A"/>
    <w:rsid w:val="00B40419"/>
    <w:rsid w:val="00B525F1"/>
    <w:rsid w:val="00B56FB2"/>
    <w:rsid w:val="00B650A8"/>
    <w:rsid w:val="00B65DB8"/>
    <w:rsid w:val="00B669CC"/>
    <w:rsid w:val="00B66F66"/>
    <w:rsid w:val="00B70441"/>
    <w:rsid w:val="00B75F7A"/>
    <w:rsid w:val="00B878CF"/>
    <w:rsid w:val="00BB33E5"/>
    <w:rsid w:val="00BC5ADA"/>
    <w:rsid w:val="00BF24F6"/>
    <w:rsid w:val="00C12B49"/>
    <w:rsid w:val="00C2477B"/>
    <w:rsid w:val="00C25477"/>
    <w:rsid w:val="00C31838"/>
    <w:rsid w:val="00C51D5A"/>
    <w:rsid w:val="00C52B90"/>
    <w:rsid w:val="00C63E27"/>
    <w:rsid w:val="00C661B0"/>
    <w:rsid w:val="00C752A7"/>
    <w:rsid w:val="00CE034E"/>
    <w:rsid w:val="00CE5FA4"/>
    <w:rsid w:val="00CF730B"/>
    <w:rsid w:val="00D0074B"/>
    <w:rsid w:val="00D00E4A"/>
    <w:rsid w:val="00D548E9"/>
    <w:rsid w:val="00D65AEE"/>
    <w:rsid w:val="00D67440"/>
    <w:rsid w:val="00D8134E"/>
    <w:rsid w:val="00D84FBA"/>
    <w:rsid w:val="00D87F98"/>
    <w:rsid w:val="00D97EE1"/>
    <w:rsid w:val="00DD6C81"/>
    <w:rsid w:val="00DE7B67"/>
    <w:rsid w:val="00DF0B02"/>
    <w:rsid w:val="00DF64B5"/>
    <w:rsid w:val="00E04BAE"/>
    <w:rsid w:val="00E06093"/>
    <w:rsid w:val="00E21572"/>
    <w:rsid w:val="00E30117"/>
    <w:rsid w:val="00E3522D"/>
    <w:rsid w:val="00E4569A"/>
    <w:rsid w:val="00E4602A"/>
    <w:rsid w:val="00E5426A"/>
    <w:rsid w:val="00E86279"/>
    <w:rsid w:val="00E90FB3"/>
    <w:rsid w:val="00EA4F09"/>
    <w:rsid w:val="00EE7B92"/>
    <w:rsid w:val="00F02B53"/>
    <w:rsid w:val="00F06546"/>
    <w:rsid w:val="00F14E80"/>
    <w:rsid w:val="00F36EA0"/>
    <w:rsid w:val="00F46BDB"/>
    <w:rsid w:val="00F5031A"/>
    <w:rsid w:val="00F821FE"/>
    <w:rsid w:val="00F97328"/>
    <w:rsid w:val="00FA299E"/>
    <w:rsid w:val="00FC298E"/>
    <w:rsid w:val="00FC39B9"/>
    <w:rsid w:val="00FC438A"/>
    <w:rsid w:val="00FD2463"/>
    <w:rsid w:val="00FD3CC5"/>
    <w:rsid w:val="00FE42FD"/>
    <w:rsid w:val="00FE7B2B"/>
  </w:rsids>
  <m:mathPr>
    <m:mathFont m:val="Cambria Math"/>
    <m:brkBin m:val="before"/>
    <m:brkBinSub m:val="--"/>
    <m:smallFrac m:val="off"/>
    <m:dispDef m:val="off"/>
    <m:lMargin m:val="0"/>
    <m:rMargin m:val="0"/>
    <m:defJc m:val="centerGroup"/>
    <m:wrapRight/>
    <m:intLim m:val="subSup"/>
    <m:naryLim m:val="subSup"/>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basedOn w:val="Absatz-Standardschriftart"/>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basedOn w:val="FuzeileZchn"/>
    <w:link w:val="EKUTFusszeileFett"/>
    <w:rsid w:val="00A104F4"/>
    <w:rPr>
      <w:b/>
      <w:sz w:val="14"/>
      <w:szCs w:val="14"/>
      <w:lang w:val="en-GB"/>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basedOn w:val="FuzeileZchn"/>
    <w:link w:val="EKUTFusszeile"/>
    <w:rsid w:val="00370386"/>
    <w:rPr>
      <w:sz w:val="14"/>
      <w:szCs w:val="14"/>
      <w:lang w:val="en-GB"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basedOn w:val="Absatz-Standardschriftart"/>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basedOn w:val="Absatz-Standardschriftart"/>
    <w:link w:val="Funotentext"/>
    <w:uiPriority w:val="99"/>
    <w:semiHidden/>
    <w:rsid w:val="006E5F22"/>
    <w:rPr>
      <w:rFonts w:ascii="Arial" w:eastAsia="Times New Roman" w:hAnsi="Arial"/>
    </w:rPr>
  </w:style>
  <w:style w:type="character" w:styleId="Funotenzeichen">
    <w:name w:val="footnote reference"/>
    <w:basedOn w:val="Absatz-Standardschriftart"/>
    <w:uiPriority w:val="99"/>
    <w:semiHidden/>
    <w:unhideWhenUsed/>
    <w:rsid w:val="006E5F22"/>
    <w:rPr>
      <w:vertAlign w:val="superscript"/>
    </w:rPr>
  </w:style>
  <w:style w:type="character" w:styleId="Hyperlink">
    <w:name w:val="Hyperlink"/>
    <w:basedOn w:val="Absatz-Standardschriftart"/>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subtitle">
    <w:name w:val="subtitle"/>
    <w:basedOn w:val="Absatz-Standardschriftart"/>
    <w:rsid w:val="00A96256"/>
  </w:style>
  <w:style w:type="character" w:styleId="BesuchterHyperlink">
    <w:name w:val="FollowedHyperlink"/>
    <w:basedOn w:val="Absatz-Standardschriftart"/>
    <w:uiPriority w:val="99"/>
    <w:semiHidden/>
    <w:unhideWhenUsed/>
    <w:rsid w:val="00870AEA"/>
    <w:rPr>
      <w:color w:val="800080"/>
      <w:u w:val="single"/>
    </w:rPr>
  </w:style>
  <w:style w:type="character" w:styleId="Kommentarzeichen">
    <w:name w:val="annotation reference"/>
    <w:basedOn w:val="Absatz-Standardschriftart"/>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basedOn w:val="Absatz-Standardschriftart"/>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basedOn w:val="KommentartextZchn"/>
    <w:link w:val="Kommentarthema"/>
    <w:uiPriority w:val="99"/>
    <w:semiHidden/>
    <w:rsid w:val="00B70441"/>
    <w:rPr>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basedOn w:val="Absatz-Standardschriftart"/>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basedOn w:val="Absatz-Standardschriftart"/>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webSettings.xml><?xml version="1.0" encoding="utf-8"?>
<w:webSettings xmlns:r="http://schemas.openxmlformats.org/officeDocument/2006/relationships" xmlns:w="http://schemas.openxmlformats.org/wordprocessingml/2006/main">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sea.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mi-marcar.eu/" TargetMode="External"/><Relationship Id="rId4" Type="http://schemas.openxmlformats.org/officeDocument/2006/relationships/settings" Target="settings.xml"/><Relationship Id="rId9" Type="http://schemas.openxmlformats.org/officeDocument/2006/relationships/hyperlink" Target="http://impala.molgen.mpg.de/"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14D753-F9AE-424F-8484-219B4D63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2317</Words>
  <Characters>14600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Johannes Eichner</cp:lastModifiedBy>
  <cp:revision>8</cp:revision>
  <cp:lastPrinted>2013-05-24T14:17:00Z</cp:lastPrinted>
  <dcterms:created xsi:type="dcterms:W3CDTF">2014-02-21T09:33:00Z</dcterms:created>
  <dcterms:modified xsi:type="dcterms:W3CDTF">2014-02-21T15:21:00Z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